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C6C83" w14:textId="77777777" w:rsidR="00F725FF" w:rsidRDefault="00000000">
      <w:pPr>
        <w:spacing w:after="327" w:line="259" w:lineRule="auto"/>
        <w:ind w:left="297" w:firstLine="0"/>
        <w:jc w:val="center"/>
      </w:pPr>
      <w:r>
        <w:rPr>
          <w:rFonts w:ascii="Noto Sans" w:eastAsia="Noto Sans" w:hAnsi="Noto Sans" w:cs="Noto Sans"/>
          <w:b/>
          <w:sz w:val="36"/>
        </w:rPr>
        <w:t>NGĀTI KERE HAPŪ AUTHORITY</w:t>
      </w:r>
    </w:p>
    <w:p w14:paraId="3A4BBBDA" w14:textId="77777777" w:rsidR="00F725FF" w:rsidRDefault="00000000">
      <w:pPr>
        <w:spacing w:after="1236" w:line="259" w:lineRule="auto"/>
        <w:ind w:left="1326" w:firstLine="0"/>
      </w:pPr>
      <w:r>
        <w:rPr>
          <w:noProof/>
        </w:rPr>
        <w:drawing>
          <wp:anchor distT="0" distB="0" distL="114300" distR="114300" simplePos="0" relativeHeight="251658240" behindDoc="0" locked="0" layoutInCell="1" allowOverlap="0" wp14:anchorId="2F62228B" wp14:editId="62D3F00E">
            <wp:simplePos x="0" y="0"/>
            <wp:positionH relativeFrom="page">
              <wp:posOffset>3495040</wp:posOffset>
            </wp:positionH>
            <wp:positionV relativeFrom="page">
              <wp:posOffset>111760</wp:posOffset>
            </wp:positionV>
            <wp:extent cx="782955" cy="782955"/>
            <wp:effectExtent l="0" t="0" r="0" b="0"/>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782955" cy="782955"/>
                    </a:xfrm>
                    <a:prstGeom prst="rect">
                      <a:avLst/>
                    </a:prstGeom>
                  </pic:spPr>
                </pic:pic>
              </a:graphicData>
            </a:graphic>
          </wp:anchor>
        </w:drawing>
      </w:r>
      <w:r>
        <w:rPr>
          <w:rFonts w:ascii="Noto Sans" w:eastAsia="Noto Sans" w:hAnsi="Noto Sans" w:cs="Noto Sans"/>
          <w:b/>
          <w:sz w:val="48"/>
        </w:rPr>
        <w:t>ANNUAL GENERAL MEETING</w:t>
      </w:r>
    </w:p>
    <w:p w14:paraId="06726102" w14:textId="77777777" w:rsidR="00F725FF" w:rsidRDefault="00000000">
      <w:pPr>
        <w:spacing w:after="3" w:line="346" w:lineRule="auto"/>
        <w:ind w:left="2811" w:right="2503"/>
        <w:jc w:val="center"/>
      </w:pPr>
      <w:r>
        <w:rPr>
          <w:rFonts w:ascii="Noto Sans" w:eastAsia="Noto Sans" w:hAnsi="Noto Sans" w:cs="Noto Sans"/>
          <w:sz w:val="26"/>
        </w:rPr>
        <w:t>Sunday 4 October 2026 1.00pm</w:t>
      </w:r>
    </w:p>
    <w:p w14:paraId="6D002FCA" w14:textId="77777777" w:rsidR="00F725FF" w:rsidRDefault="00000000">
      <w:pPr>
        <w:spacing w:after="3" w:line="259" w:lineRule="auto"/>
        <w:ind w:left="2811" w:right="2502"/>
        <w:jc w:val="center"/>
      </w:pPr>
      <w:proofErr w:type="spellStart"/>
      <w:r>
        <w:rPr>
          <w:rFonts w:ascii="Noto Sans" w:eastAsia="Noto Sans" w:hAnsi="Noto Sans" w:cs="Noto Sans"/>
          <w:sz w:val="26"/>
        </w:rPr>
        <w:t>Rongomaraeroa</w:t>
      </w:r>
      <w:proofErr w:type="spellEnd"/>
      <w:r>
        <w:rPr>
          <w:rFonts w:ascii="Noto Sans" w:eastAsia="Noto Sans" w:hAnsi="Noto Sans" w:cs="Noto Sans"/>
          <w:sz w:val="26"/>
        </w:rPr>
        <w:t xml:space="preserve"> Marae</w:t>
      </w:r>
      <w:r>
        <w:br w:type="page"/>
      </w:r>
    </w:p>
    <w:p w14:paraId="3B363CB6" w14:textId="77777777" w:rsidR="00F725FF" w:rsidRDefault="00000000" w:rsidP="00830011">
      <w:pPr>
        <w:spacing w:after="0" w:line="240" w:lineRule="auto"/>
        <w:ind w:left="1131" w:right="835" w:firstLine="0"/>
        <w:jc w:val="center"/>
      </w:pPr>
      <w:r>
        <w:rPr>
          <w:rFonts w:ascii="Noto Serif" w:eastAsia="Noto Serif" w:hAnsi="Noto Serif" w:cs="Noto Serif"/>
          <w:b/>
        </w:rPr>
        <w:lastRenderedPageBreak/>
        <w:t xml:space="preserve">Annual General Meeting Agenda, October 4, 2026 </w:t>
      </w:r>
      <w:proofErr w:type="spellStart"/>
      <w:r>
        <w:rPr>
          <w:rFonts w:ascii="Noto Serif" w:eastAsia="Noto Serif" w:hAnsi="Noto Serif" w:cs="Noto Serif"/>
        </w:rPr>
        <w:t>Rongomaraeroa</w:t>
      </w:r>
      <w:proofErr w:type="spellEnd"/>
      <w:r>
        <w:rPr>
          <w:rFonts w:ascii="Noto Serif" w:eastAsia="Noto Serif" w:hAnsi="Noto Serif" w:cs="Noto Serif"/>
        </w:rPr>
        <w:t xml:space="preserve"> Marae, 1.00pm</w:t>
      </w:r>
    </w:p>
    <w:p w14:paraId="14909EE7" w14:textId="43BE325B" w:rsidR="00CA3524" w:rsidRPr="00CA3524" w:rsidRDefault="00CA3524" w:rsidP="00830011">
      <w:pPr>
        <w:spacing w:after="0" w:line="240" w:lineRule="auto"/>
        <w:ind w:left="-5"/>
        <w:rPr>
          <w:sz w:val="28"/>
          <w:szCs w:val="28"/>
        </w:rPr>
      </w:pPr>
      <w:r w:rsidRPr="00CA3524">
        <w:rPr>
          <w:rFonts w:ascii="Noto Serif" w:eastAsia="Noto Serif" w:hAnsi="Noto Serif" w:cs="Noto Serif"/>
          <w:b/>
          <w:sz w:val="28"/>
          <w:szCs w:val="28"/>
        </w:rPr>
        <w:t>Agenda</w:t>
      </w:r>
      <w:r w:rsidRPr="00CA3524">
        <w:rPr>
          <w:rFonts w:ascii="Noto Serif" w:eastAsia="Noto Serif" w:hAnsi="Noto Serif" w:cs="Noto Serif"/>
          <w:sz w:val="28"/>
          <w:szCs w:val="28"/>
        </w:rPr>
        <w:t>:</w:t>
      </w:r>
    </w:p>
    <w:p w14:paraId="49C557C7" w14:textId="77777777" w:rsidR="00830011" w:rsidRPr="00830011" w:rsidRDefault="00830011" w:rsidP="00CA3524">
      <w:pPr>
        <w:spacing w:after="64" w:line="259" w:lineRule="auto"/>
        <w:ind w:left="-5"/>
        <w:rPr>
          <w:rFonts w:ascii="Noto Serif" w:eastAsia="Noto Serif" w:hAnsi="Noto Serif" w:cs="Noto Serif"/>
          <w:b/>
          <w:sz w:val="10"/>
          <w:szCs w:val="10"/>
        </w:rPr>
      </w:pPr>
    </w:p>
    <w:p w14:paraId="7BF74D43" w14:textId="7E0610F4" w:rsidR="00CA3524" w:rsidRPr="00CA3524" w:rsidRDefault="00000000" w:rsidP="00CA3524">
      <w:pPr>
        <w:spacing w:after="64" w:line="259" w:lineRule="auto"/>
        <w:ind w:left="-5"/>
        <w:rPr>
          <w:rFonts w:ascii="Noto Serif" w:eastAsia="Noto Serif" w:hAnsi="Noto Serif" w:cs="Noto Serif"/>
        </w:rPr>
      </w:pPr>
      <w:r>
        <w:rPr>
          <w:rFonts w:ascii="Noto Serif" w:eastAsia="Noto Serif" w:hAnsi="Noto Serif" w:cs="Noto Serif"/>
          <w:b/>
        </w:rPr>
        <w:t>Karakia</w:t>
      </w:r>
      <w:r>
        <w:rPr>
          <w:rFonts w:ascii="Noto Serif" w:eastAsia="Noto Serif" w:hAnsi="Noto Serif" w:cs="Noto Serif"/>
        </w:rPr>
        <w:t>:</w:t>
      </w:r>
    </w:p>
    <w:p w14:paraId="5D804177" w14:textId="5B3466DC" w:rsidR="00CA3524" w:rsidRPr="00CA3524" w:rsidRDefault="00836BD0" w:rsidP="00CA3524">
      <w:pPr>
        <w:spacing w:after="64" w:line="259" w:lineRule="auto"/>
        <w:ind w:left="-5"/>
      </w:pPr>
      <w:proofErr w:type="spellStart"/>
      <w:r>
        <w:rPr>
          <w:rFonts w:ascii="Noto Serif" w:eastAsia="Noto Serif" w:hAnsi="Noto Serif" w:cs="Noto Serif"/>
          <w:b/>
        </w:rPr>
        <w:t>Maumaharatanga</w:t>
      </w:r>
      <w:proofErr w:type="spellEnd"/>
      <w:r w:rsidRPr="00836BD0">
        <w:t>:</w:t>
      </w:r>
      <w:r>
        <w:t xml:space="preserve"> </w:t>
      </w:r>
    </w:p>
    <w:p w14:paraId="1B71E521" w14:textId="04A8FFD2" w:rsidR="00CA3524" w:rsidRDefault="00000000" w:rsidP="00CA3524">
      <w:pPr>
        <w:spacing w:after="64" w:line="259" w:lineRule="auto"/>
        <w:ind w:left="-5"/>
        <w:rPr>
          <w:rFonts w:ascii="Noto Serif" w:eastAsia="Noto Serif" w:hAnsi="Noto Serif" w:cs="Noto Serif"/>
          <w:b/>
        </w:rPr>
      </w:pPr>
      <w:r>
        <w:rPr>
          <w:rFonts w:ascii="Noto Serif" w:eastAsia="Noto Serif" w:hAnsi="Noto Serif" w:cs="Noto Serif"/>
          <w:b/>
        </w:rPr>
        <w:t>Apologies</w:t>
      </w:r>
      <w:r w:rsidR="00836BD0">
        <w:rPr>
          <w:rFonts w:ascii="Noto Serif" w:eastAsia="Noto Serif" w:hAnsi="Noto Serif" w:cs="Noto Serif"/>
          <w:b/>
        </w:rPr>
        <w:t>:</w:t>
      </w:r>
      <w:r>
        <w:rPr>
          <w:rFonts w:ascii="Noto Serif" w:eastAsia="Noto Serif" w:hAnsi="Noto Serif" w:cs="Noto Serif"/>
          <w:b/>
        </w:rPr>
        <w:t xml:space="preserve"> </w:t>
      </w:r>
    </w:p>
    <w:p w14:paraId="39236720" w14:textId="5B603E3F" w:rsidR="00CA3524" w:rsidRDefault="00000000" w:rsidP="00CA3524">
      <w:pPr>
        <w:spacing w:after="64" w:line="259" w:lineRule="auto"/>
        <w:ind w:left="-5"/>
        <w:rPr>
          <w:rFonts w:ascii="Noto Serif" w:eastAsia="Noto Serif" w:hAnsi="Noto Serif" w:cs="Noto Serif"/>
        </w:rPr>
      </w:pPr>
      <w:r>
        <w:rPr>
          <w:rFonts w:ascii="Noto Serif" w:eastAsia="Noto Serif" w:hAnsi="Noto Serif" w:cs="Noto Serif"/>
          <w:b/>
        </w:rPr>
        <w:t>Declaration of conflict</w:t>
      </w:r>
      <w:r>
        <w:rPr>
          <w:rFonts w:ascii="Noto Serif" w:eastAsia="Noto Serif" w:hAnsi="Noto Serif" w:cs="Noto Serif"/>
        </w:rPr>
        <w:t>:</w:t>
      </w:r>
      <w:r w:rsidR="00836BD0">
        <w:rPr>
          <w:rFonts w:ascii="Noto Serif" w:eastAsia="Noto Serif" w:hAnsi="Noto Serif" w:cs="Noto Serif"/>
        </w:rPr>
        <w:t xml:space="preserve"> </w:t>
      </w:r>
    </w:p>
    <w:p w14:paraId="402EFA56" w14:textId="77777777" w:rsidR="000861A8" w:rsidRPr="00CA3524" w:rsidRDefault="000861A8" w:rsidP="00CA3524">
      <w:pPr>
        <w:spacing w:after="64" w:line="259" w:lineRule="auto"/>
        <w:ind w:left="-5"/>
      </w:pPr>
    </w:p>
    <w:p w14:paraId="3E70BDE3" w14:textId="77777777" w:rsidR="00830011" w:rsidRPr="00830011" w:rsidRDefault="00830011" w:rsidP="00CA3524">
      <w:pPr>
        <w:spacing w:after="5"/>
        <w:ind w:left="-5"/>
        <w:rPr>
          <w:rFonts w:ascii="Noto Serif" w:eastAsia="Noto Serif" w:hAnsi="Noto Serif" w:cs="Noto Serif"/>
          <w:b/>
          <w:sz w:val="10"/>
          <w:szCs w:val="10"/>
        </w:rPr>
      </w:pPr>
    </w:p>
    <w:p w14:paraId="6FCAC048" w14:textId="249DA8A6" w:rsidR="00CA3524" w:rsidRPr="00830011" w:rsidRDefault="00000000" w:rsidP="00830011">
      <w:pPr>
        <w:pStyle w:val="ListParagraph"/>
        <w:numPr>
          <w:ilvl w:val="0"/>
          <w:numId w:val="4"/>
        </w:numPr>
        <w:spacing w:after="5"/>
        <w:rPr>
          <w:rFonts w:ascii="Noto Serif" w:eastAsia="Noto Serif" w:hAnsi="Noto Serif" w:cs="Noto Serif"/>
        </w:rPr>
      </w:pPr>
      <w:r w:rsidRPr="00830011">
        <w:rPr>
          <w:rFonts w:ascii="Noto Serif" w:eastAsia="Noto Serif" w:hAnsi="Noto Serif" w:cs="Noto Serif"/>
          <w:b/>
        </w:rPr>
        <w:t>Minutes</w:t>
      </w:r>
      <w:r w:rsidR="00CA3524" w:rsidRPr="00830011">
        <w:rPr>
          <w:rFonts w:ascii="Noto Serif" w:eastAsia="Noto Serif" w:hAnsi="Noto Serif" w:cs="Noto Serif"/>
        </w:rPr>
        <w:t xml:space="preserve"> </w:t>
      </w:r>
      <w:r w:rsidR="00CA3524" w:rsidRPr="00830011">
        <w:rPr>
          <w:rFonts w:ascii="Noto Serif" w:eastAsia="Noto Serif" w:hAnsi="Noto Serif" w:cs="Noto Serif"/>
          <w:b/>
          <w:bCs/>
        </w:rPr>
        <w:t>of</w:t>
      </w:r>
      <w:r w:rsidRPr="00830011">
        <w:rPr>
          <w:rFonts w:ascii="Noto Serif" w:eastAsia="Noto Serif" w:hAnsi="Noto Serif" w:cs="Noto Serif"/>
          <w:b/>
          <w:bCs/>
        </w:rPr>
        <w:t xml:space="preserve"> Previous Annual General Meeting</w:t>
      </w:r>
      <w:r w:rsidR="00CA3524" w:rsidRPr="00830011">
        <w:rPr>
          <w:rFonts w:ascii="Noto Serif" w:eastAsia="Noto Serif" w:hAnsi="Noto Serif" w:cs="Noto Serif"/>
        </w:rPr>
        <w:t xml:space="preserve">: </w:t>
      </w:r>
    </w:p>
    <w:p w14:paraId="7F6D9C69" w14:textId="5DABC594" w:rsidR="00CA3524" w:rsidRDefault="00830011" w:rsidP="00830011">
      <w:pPr>
        <w:spacing w:after="0" w:line="259" w:lineRule="auto"/>
        <w:ind w:left="-6" w:right="3396" w:hanging="11"/>
        <w:rPr>
          <w:rFonts w:ascii="Noto Serif" w:eastAsia="Noto Serif" w:hAnsi="Noto Serif" w:cs="Noto Serif"/>
        </w:rPr>
      </w:pPr>
      <w:r>
        <w:rPr>
          <w:rFonts w:ascii="Noto Serif" w:eastAsia="Noto Serif" w:hAnsi="Noto Serif" w:cs="Noto Serif"/>
          <w:b/>
        </w:rPr>
        <w:t xml:space="preserve">      </w:t>
      </w:r>
      <w:r w:rsidR="00000000">
        <w:rPr>
          <w:rFonts w:ascii="Noto Serif" w:eastAsia="Noto Serif" w:hAnsi="Noto Serif" w:cs="Noto Serif"/>
          <w:b/>
        </w:rPr>
        <w:t>Confirmation of previous AGM minutes</w:t>
      </w:r>
      <w:r w:rsidR="00000000">
        <w:rPr>
          <w:rFonts w:ascii="Noto Serif" w:eastAsia="Noto Serif" w:hAnsi="Noto Serif" w:cs="Noto Serif"/>
        </w:rPr>
        <w:t xml:space="preserve">: </w:t>
      </w:r>
    </w:p>
    <w:p w14:paraId="33523562" w14:textId="481520FE" w:rsidR="00CA3524" w:rsidRDefault="00830011" w:rsidP="00830011">
      <w:pPr>
        <w:spacing w:after="0" w:line="259" w:lineRule="auto"/>
        <w:ind w:left="-6" w:right="3396" w:hanging="11"/>
        <w:rPr>
          <w:rFonts w:ascii="Noto Serif" w:eastAsia="Noto Serif" w:hAnsi="Noto Serif" w:cs="Noto Serif"/>
        </w:rPr>
      </w:pPr>
      <w:r>
        <w:rPr>
          <w:rFonts w:ascii="Noto Serif" w:eastAsia="Noto Serif" w:hAnsi="Noto Serif" w:cs="Noto Serif"/>
          <w:b/>
        </w:rPr>
        <w:t xml:space="preserve">      </w:t>
      </w:r>
      <w:r w:rsidR="00000000">
        <w:rPr>
          <w:rFonts w:ascii="Noto Serif" w:eastAsia="Noto Serif" w:hAnsi="Noto Serif" w:cs="Noto Serif"/>
          <w:b/>
        </w:rPr>
        <w:t>Matters arising</w:t>
      </w:r>
      <w:r w:rsidR="00000000">
        <w:rPr>
          <w:rFonts w:ascii="Noto Serif" w:eastAsia="Noto Serif" w:hAnsi="Noto Serif" w:cs="Noto Serif"/>
        </w:rPr>
        <w:t>:</w:t>
      </w:r>
    </w:p>
    <w:p w14:paraId="04BA1F46" w14:textId="77777777" w:rsidR="000861A8" w:rsidRDefault="000861A8" w:rsidP="00830011">
      <w:pPr>
        <w:spacing w:after="0" w:line="259" w:lineRule="auto"/>
        <w:ind w:left="-6" w:right="3396" w:hanging="11"/>
        <w:rPr>
          <w:rFonts w:ascii="Noto Serif" w:eastAsia="Noto Serif" w:hAnsi="Noto Serif" w:cs="Noto Serif"/>
        </w:rPr>
      </w:pPr>
    </w:p>
    <w:p w14:paraId="35E6E447" w14:textId="77777777" w:rsidR="00830011" w:rsidRPr="00830011" w:rsidRDefault="00830011" w:rsidP="00830011">
      <w:pPr>
        <w:spacing w:after="0" w:line="259" w:lineRule="auto"/>
        <w:ind w:left="-6" w:right="3396" w:hanging="11"/>
        <w:rPr>
          <w:rFonts w:ascii="Noto Serif" w:eastAsia="Noto Serif" w:hAnsi="Noto Serif" w:cs="Noto Serif"/>
          <w:sz w:val="10"/>
          <w:szCs w:val="10"/>
        </w:rPr>
      </w:pPr>
    </w:p>
    <w:p w14:paraId="35B5BE0C" w14:textId="5FFCAED6" w:rsidR="00F725FF" w:rsidRPr="00830011" w:rsidRDefault="00000000" w:rsidP="00830011">
      <w:pPr>
        <w:pStyle w:val="ListParagraph"/>
        <w:numPr>
          <w:ilvl w:val="0"/>
          <w:numId w:val="4"/>
        </w:numPr>
        <w:spacing w:after="0" w:line="259" w:lineRule="auto"/>
        <w:rPr>
          <w:szCs w:val="22"/>
        </w:rPr>
      </w:pPr>
      <w:r w:rsidRPr="00830011">
        <w:rPr>
          <w:noProof/>
          <w:szCs w:val="22"/>
        </w:rPr>
        <w:drawing>
          <wp:anchor distT="0" distB="0" distL="114300" distR="114300" simplePos="0" relativeHeight="251659264" behindDoc="0" locked="0" layoutInCell="1" allowOverlap="0" wp14:anchorId="77AD46D0" wp14:editId="4D8291D2">
            <wp:simplePos x="0" y="0"/>
            <wp:positionH relativeFrom="page">
              <wp:posOffset>3495040</wp:posOffset>
            </wp:positionH>
            <wp:positionV relativeFrom="page">
              <wp:posOffset>111760</wp:posOffset>
            </wp:positionV>
            <wp:extent cx="782955" cy="782955"/>
            <wp:effectExtent l="0" t="0" r="0" b="0"/>
            <wp:wrapTopAndBottom/>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7"/>
                    <a:stretch>
                      <a:fillRect/>
                    </a:stretch>
                  </pic:blipFill>
                  <pic:spPr>
                    <a:xfrm>
                      <a:off x="0" y="0"/>
                      <a:ext cx="782955" cy="782955"/>
                    </a:xfrm>
                    <a:prstGeom prst="rect">
                      <a:avLst/>
                    </a:prstGeom>
                  </pic:spPr>
                </pic:pic>
              </a:graphicData>
            </a:graphic>
          </wp:anchor>
        </w:drawing>
      </w:r>
      <w:r w:rsidRPr="00830011">
        <w:rPr>
          <w:rFonts w:ascii="Noto Serif" w:eastAsia="Noto Serif" w:hAnsi="Noto Serif" w:cs="Noto Serif"/>
          <w:b/>
          <w:szCs w:val="22"/>
        </w:rPr>
        <w:t>Chair’s Report</w:t>
      </w:r>
    </w:p>
    <w:p w14:paraId="18489858" w14:textId="77777777" w:rsidR="00F725FF" w:rsidRDefault="00000000" w:rsidP="00830011">
      <w:pPr>
        <w:spacing w:after="0" w:line="259" w:lineRule="auto"/>
        <w:ind w:left="-5"/>
        <w:rPr>
          <w:rFonts w:ascii="Noto Serif" w:eastAsia="Noto Serif" w:hAnsi="Noto Serif" w:cs="Noto Serif"/>
        </w:rPr>
      </w:pPr>
      <w:r>
        <w:rPr>
          <w:rFonts w:ascii="Noto Serif" w:eastAsia="Noto Serif" w:hAnsi="Noto Serif" w:cs="Noto Serif"/>
        </w:rPr>
        <w:t>David Tipene-Leach</w:t>
      </w:r>
    </w:p>
    <w:p w14:paraId="29D54BF1" w14:textId="77777777" w:rsidR="000861A8" w:rsidRDefault="000861A8" w:rsidP="00830011">
      <w:pPr>
        <w:spacing w:after="0" w:line="259" w:lineRule="auto"/>
        <w:ind w:left="-5"/>
        <w:rPr>
          <w:rFonts w:ascii="Noto Serif" w:eastAsia="Noto Serif" w:hAnsi="Noto Serif" w:cs="Noto Serif"/>
        </w:rPr>
      </w:pPr>
    </w:p>
    <w:p w14:paraId="5CC9CE21" w14:textId="77777777" w:rsidR="00830011" w:rsidRPr="00830011" w:rsidRDefault="00830011" w:rsidP="00830011">
      <w:pPr>
        <w:spacing w:after="0" w:line="259" w:lineRule="auto"/>
        <w:ind w:left="-5"/>
        <w:rPr>
          <w:sz w:val="10"/>
          <w:szCs w:val="10"/>
        </w:rPr>
      </w:pPr>
    </w:p>
    <w:p w14:paraId="34093479" w14:textId="77777777" w:rsidR="00F725FF" w:rsidRPr="00830011" w:rsidRDefault="00000000" w:rsidP="00830011">
      <w:pPr>
        <w:numPr>
          <w:ilvl w:val="0"/>
          <w:numId w:val="4"/>
        </w:numPr>
        <w:spacing w:after="0" w:line="259" w:lineRule="auto"/>
        <w:rPr>
          <w:szCs w:val="22"/>
        </w:rPr>
      </w:pPr>
      <w:r w:rsidRPr="00830011">
        <w:rPr>
          <w:rFonts w:ascii="Noto Serif" w:eastAsia="Noto Serif" w:hAnsi="Noto Serif" w:cs="Noto Serif"/>
          <w:b/>
          <w:szCs w:val="22"/>
        </w:rPr>
        <w:t>Annual Financial Report – Year Ended 31 March 2026</w:t>
      </w:r>
    </w:p>
    <w:p w14:paraId="602ECAE4" w14:textId="77777777" w:rsidR="00F725FF" w:rsidRDefault="00000000" w:rsidP="00830011">
      <w:pPr>
        <w:spacing w:after="0" w:line="259" w:lineRule="auto"/>
        <w:ind w:left="-5"/>
      </w:pPr>
      <w:r>
        <w:rPr>
          <w:rFonts w:ascii="Noto Serif" w:eastAsia="Noto Serif" w:hAnsi="Noto Serif" w:cs="Noto Serif"/>
        </w:rPr>
        <w:t>Year ended 31 March 2026 Financial Report</w:t>
      </w:r>
    </w:p>
    <w:p w14:paraId="7E2A6ADC" w14:textId="77777777" w:rsidR="00F725FF" w:rsidRDefault="00000000" w:rsidP="00830011">
      <w:pPr>
        <w:spacing w:after="0" w:line="259" w:lineRule="auto"/>
        <w:ind w:left="-5"/>
        <w:rPr>
          <w:rFonts w:ascii="Noto Serif" w:eastAsia="Noto Serif" w:hAnsi="Noto Serif" w:cs="Noto Serif"/>
        </w:rPr>
      </w:pPr>
      <w:r>
        <w:rPr>
          <w:rFonts w:ascii="Noto Serif" w:eastAsia="Noto Serif" w:hAnsi="Noto Serif" w:cs="Noto Serif"/>
        </w:rPr>
        <w:t>Copies of the full Annual Financial Statements will be available at the AGM on request.</w:t>
      </w:r>
    </w:p>
    <w:p w14:paraId="1FC6A2C0" w14:textId="77777777" w:rsidR="00830011" w:rsidRPr="00830011" w:rsidRDefault="00830011" w:rsidP="00830011">
      <w:pPr>
        <w:spacing w:after="0" w:line="259" w:lineRule="auto"/>
        <w:ind w:left="-5"/>
        <w:rPr>
          <w:sz w:val="10"/>
          <w:szCs w:val="10"/>
        </w:rPr>
      </w:pPr>
    </w:p>
    <w:p w14:paraId="0974AC60" w14:textId="77777777" w:rsidR="000861A8" w:rsidRDefault="000861A8" w:rsidP="000861A8">
      <w:pPr>
        <w:spacing w:after="0" w:line="259" w:lineRule="auto"/>
        <w:ind w:left="-15" w:firstLine="0"/>
        <w:rPr>
          <w:rFonts w:ascii="Noto Serif" w:eastAsia="Noto Serif" w:hAnsi="Noto Serif" w:cs="Noto Serif"/>
          <w:b/>
          <w:szCs w:val="22"/>
        </w:rPr>
      </w:pPr>
    </w:p>
    <w:p w14:paraId="3C52788D" w14:textId="2D1AF11C" w:rsidR="00F725FF" w:rsidRPr="000861A8" w:rsidRDefault="00000000" w:rsidP="000861A8">
      <w:pPr>
        <w:pStyle w:val="ListParagraph"/>
        <w:numPr>
          <w:ilvl w:val="0"/>
          <w:numId w:val="4"/>
        </w:numPr>
        <w:spacing w:after="0" w:line="259" w:lineRule="auto"/>
        <w:rPr>
          <w:szCs w:val="22"/>
        </w:rPr>
      </w:pPr>
      <w:r w:rsidRPr="000861A8">
        <w:rPr>
          <w:rFonts w:ascii="Noto Serif" w:eastAsia="Noto Serif" w:hAnsi="Noto Serif" w:cs="Noto Serif"/>
          <w:b/>
          <w:szCs w:val="22"/>
        </w:rPr>
        <w:t>Trustee Election Results</w:t>
      </w:r>
    </w:p>
    <w:p w14:paraId="42E79203" w14:textId="77777777" w:rsidR="00F725FF" w:rsidRDefault="00000000" w:rsidP="00830011">
      <w:pPr>
        <w:spacing w:after="0" w:line="259" w:lineRule="auto"/>
        <w:ind w:left="-5"/>
      </w:pPr>
      <w:r>
        <w:rPr>
          <w:rFonts w:ascii="Noto Serif" w:eastAsia="Noto Serif" w:hAnsi="Noto Serif" w:cs="Noto Serif"/>
        </w:rPr>
        <w:t>Returning Officer: Carole Tipene.</w:t>
      </w:r>
    </w:p>
    <w:p w14:paraId="490A8B18" w14:textId="77777777" w:rsidR="00CA3524" w:rsidRDefault="00000000" w:rsidP="00830011">
      <w:pPr>
        <w:spacing w:after="0" w:line="259" w:lineRule="auto"/>
        <w:ind w:left="-5"/>
        <w:rPr>
          <w:rFonts w:ascii="Noto Serif" w:eastAsia="Noto Serif" w:hAnsi="Noto Serif" w:cs="Noto Serif"/>
        </w:rPr>
      </w:pPr>
      <w:r>
        <w:rPr>
          <w:rFonts w:ascii="Noto Serif" w:eastAsia="Noto Serif" w:hAnsi="Noto Serif" w:cs="Noto Serif"/>
        </w:rPr>
        <w:t>Declaration of the election result and confirmation of the trustees elected unopposed.</w:t>
      </w:r>
    </w:p>
    <w:p w14:paraId="3B9962FF" w14:textId="77777777" w:rsidR="00830011" w:rsidRPr="00830011" w:rsidRDefault="00830011" w:rsidP="00830011">
      <w:pPr>
        <w:spacing w:after="0" w:line="259" w:lineRule="auto"/>
        <w:ind w:left="-5"/>
        <w:rPr>
          <w:sz w:val="10"/>
          <w:szCs w:val="10"/>
        </w:rPr>
      </w:pPr>
    </w:p>
    <w:p w14:paraId="49F64ED7" w14:textId="77777777" w:rsidR="000861A8" w:rsidRPr="000861A8" w:rsidRDefault="000861A8" w:rsidP="000861A8">
      <w:pPr>
        <w:pStyle w:val="ListParagraph"/>
        <w:spacing w:after="204" w:line="259" w:lineRule="auto"/>
        <w:ind w:left="345" w:firstLine="0"/>
        <w:rPr>
          <w:szCs w:val="22"/>
        </w:rPr>
      </w:pPr>
    </w:p>
    <w:p w14:paraId="48FF335D" w14:textId="77777777" w:rsidR="000861A8" w:rsidRPr="000861A8" w:rsidRDefault="00000000" w:rsidP="000861A8">
      <w:pPr>
        <w:pStyle w:val="ListParagraph"/>
        <w:numPr>
          <w:ilvl w:val="0"/>
          <w:numId w:val="4"/>
        </w:numPr>
        <w:spacing w:after="204" w:line="259" w:lineRule="auto"/>
        <w:rPr>
          <w:szCs w:val="22"/>
        </w:rPr>
      </w:pPr>
      <w:r w:rsidRPr="00830011">
        <w:rPr>
          <w:rFonts w:ascii="Noto Serif" w:eastAsia="Noto Serif" w:hAnsi="Noto Serif" w:cs="Noto Serif"/>
          <w:b/>
          <w:szCs w:val="22"/>
        </w:rPr>
        <w:t>General business</w:t>
      </w:r>
    </w:p>
    <w:p w14:paraId="3611C0E6" w14:textId="77777777" w:rsidR="000861A8" w:rsidRPr="000861A8" w:rsidRDefault="000861A8" w:rsidP="000861A8">
      <w:pPr>
        <w:pStyle w:val="ListParagraph"/>
        <w:spacing w:after="204" w:line="259" w:lineRule="auto"/>
        <w:ind w:left="345" w:firstLine="0"/>
        <w:rPr>
          <w:szCs w:val="22"/>
        </w:rPr>
      </w:pPr>
    </w:p>
    <w:p w14:paraId="579B3813" w14:textId="01626037" w:rsidR="00F725FF" w:rsidRPr="000861A8" w:rsidRDefault="00000000" w:rsidP="000861A8">
      <w:pPr>
        <w:spacing w:after="204" w:line="259" w:lineRule="auto"/>
        <w:ind w:left="-15" w:firstLine="0"/>
        <w:rPr>
          <w:szCs w:val="22"/>
        </w:rPr>
      </w:pPr>
      <w:r w:rsidRPr="000861A8">
        <w:rPr>
          <w:rFonts w:ascii="Noto Serif" w:eastAsia="Noto Serif" w:hAnsi="Noto Serif" w:cs="Noto Serif"/>
          <w:b/>
        </w:rPr>
        <w:t xml:space="preserve">Karakia </w:t>
      </w:r>
      <w:proofErr w:type="spellStart"/>
      <w:r w:rsidRPr="000861A8">
        <w:rPr>
          <w:rFonts w:ascii="Noto Serif" w:eastAsia="Noto Serif" w:hAnsi="Noto Serif" w:cs="Noto Serif"/>
          <w:b/>
        </w:rPr>
        <w:t>Whakamutunga</w:t>
      </w:r>
      <w:proofErr w:type="spellEnd"/>
    </w:p>
    <w:p w14:paraId="78C30797" w14:textId="77777777" w:rsidR="00F725FF" w:rsidRDefault="00F725FF">
      <w:pPr>
        <w:sectPr w:rsidR="00F725FF" w:rsidSect="000861A8">
          <w:headerReference w:type="even" r:id="rId8"/>
          <w:headerReference w:type="default" r:id="rId9"/>
          <w:headerReference w:type="first" r:id="rId10"/>
          <w:pgSz w:w="12240" w:h="15840"/>
          <w:pgMar w:top="1410" w:right="1737" w:bottom="2019" w:left="1442" w:header="720" w:footer="720" w:gutter="0"/>
          <w:cols w:space="720"/>
        </w:sectPr>
      </w:pPr>
    </w:p>
    <w:p w14:paraId="6D073220" w14:textId="77777777" w:rsidR="00F725FF" w:rsidRDefault="00000000">
      <w:pPr>
        <w:pStyle w:val="Heading1"/>
        <w:ind w:left="-5"/>
      </w:pPr>
      <w:r>
        <w:lastRenderedPageBreak/>
        <w:t>DRAFT MINUTES (10 DEC, 2025)</w:t>
      </w:r>
      <w:r>
        <w:rPr>
          <w:sz w:val="24"/>
        </w:rPr>
        <w:t xml:space="preserve">                        </w:t>
      </w:r>
      <w:r>
        <w:rPr>
          <w:noProof/>
        </w:rPr>
        <w:drawing>
          <wp:inline distT="0" distB="0" distL="0" distR="0" wp14:anchorId="252113A9" wp14:editId="00FC033B">
            <wp:extent cx="800735" cy="792480"/>
            <wp:effectExtent l="0" t="0" r="0" b="0"/>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1"/>
                    <a:stretch>
                      <a:fillRect/>
                    </a:stretch>
                  </pic:blipFill>
                  <pic:spPr>
                    <a:xfrm>
                      <a:off x="0" y="0"/>
                      <a:ext cx="800735" cy="792480"/>
                    </a:xfrm>
                    <a:prstGeom prst="rect">
                      <a:avLst/>
                    </a:prstGeom>
                  </pic:spPr>
                </pic:pic>
              </a:graphicData>
            </a:graphic>
          </wp:inline>
        </w:drawing>
      </w:r>
      <w:r>
        <w:rPr>
          <w:sz w:val="24"/>
        </w:rPr>
        <w:t xml:space="preserve">                              </w:t>
      </w:r>
    </w:p>
    <w:p w14:paraId="481AE2A5" w14:textId="77777777" w:rsidR="00F725FF" w:rsidRDefault="00000000">
      <w:pPr>
        <w:spacing w:after="0" w:line="259" w:lineRule="auto"/>
        <w:ind w:left="0" w:firstLine="0"/>
      </w:pPr>
      <w:r>
        <w:rPr>
          <w:rFonts w:ascii="Aptos" w:eastAsia="Aptos" w:hAnsi="Aptos" w:cs="Aptos"/>
          <w:b/>
          <w:sz w:val="24"/>
        </w:rPr>
        <w:t xml:space="preserve"> </w:t>
      </w:r>
    </w:p>
    <w:p w14:paraId="4A75B8DF" w14:textId="77777777" w:rsidR="00F725FF" w:rsidRDefault="00000000">
      <w:pPr>
        <w:spacing w:after="0" w:line="259" w:lineRule="auto"/>
        <w:ind w:left="-5"/>
      </w:pPr>
      <w:r>
        <w:rPr>
          <w:rFonts w:ascii="Aptos" w:eastAsia="Aptos" w:hAnsi="Aptos" w:cs="Aptos"/>
          <w:b/>
          <w:sz w:val="24"/>
        </w:rPr>
        <w:t xml:space="preserve">Ngāti Kere Hapū Authority AGM </w:t>
      </w:r>
    </w:p>
    <w:p w14:paraId="21421031" w14:textId="77777777" w:rsidR="00F725FF" w:rsidRDefault="00000000">
      <w:pPr>
        <w:spacing w:after="0" w:line="259" w:lineRule="auto"/>
        <w:ind w:left="-5"/>
      </w:pPr>
      <w:proofErr w:type="spellStart"/>
      <w:r>
        <w:rPr>
          <w:rFonts w:ascii="Aptos" w:eastAsia="Aptos" w:hAnsi="Aptos" w:cs="Aptos"/>
          <w:b/>
          <w:sz w:val="24"/>
        </w:rPr>
        <w:t>Rongomaraeroa</w:t>
      </w:r>
      <w:proofErr w:type="spellEnd"/>
      <w:r>
        <w:rPr>
          <w:rFonts w:ascii="Aptos" w:eastAsia="Aptos" w:hAnsi="Aptos" w:cs="Aptos"/>
          <w:b/>
          <w:sz w:val="24"/>
        </w:rPr>
        <w:t xml:space="preserve"> Marae, Pōrangahau </w:t>
      </w:r>
    </w:p>
    <w:p w14:paraId="7E73DEB8" w14:textId="77777777" w:rsidR="00F725FF" w:rsidRDefault="00000000">
      <w:pPr>
        <w:spacing w:after="0" w:line="259" w:lineRule="auto"/>
        <w:ind w:left="-5"/>
      </w:pPr>
      <w:r>
        <w:rPr>
          <w:rFonts w:ascii="Aptos" w:eastAsia="Aptos" w:hAnsi="Aptos" w:cs="Aptos"/>
          <w:b/>
          <w:sz w:val="24"/>
        </w:rPr>
        <w:t xml:space="preserve">1300hrs, Sunday 7 December, 2025 </w:t>
      </w:r>
    </w:p>
    <w:p w14:paraId="3E343E84" w14:textId="77777777" w:rsidR="00F725FF" w:rsidRDefault="00000000">
      <w:pPr>
        <w:spacing w:after="0" w:line="259" w:lineRule="auto"/>
        <w:ind w:left="0" w:firstLine="0"/>
      </w:pPr>
      <w:r>
        <w:rPr>
          <w:rFonts w:ascii="Aptos" w:eastAsia="Aptos" w:hAnsi="Aptos" w:cs="Aptos"/>
          <w:sz w:val="24"/>
        </w:rPr>
        <w:t xml:space="preserve"> </w:t>
      </w:r>
    </w:p>
    <w:p w14:paraId="754F2996" w14:textId="77777777" w:rsidR="00F725FF" w:rsidRDefault="00000000">
      <w:pPr>
        <w:spacing w:after="5"/>
        <w:ind w:left="-5"/>
      </w:pPr>
      <w:r>
        <w:rPr>
          <w:rFonts w:ascii="Aptos" w:eastAsia="Aptos" w:hAnsi="Aptos" w:cs="Aptos"/>
          <w:b/>
          <w:sz w:val="24"/>
        </w:rPr>
        <w:t>Karakia:</w:t>
      </w:r>
      <w:r>
        <w:rPr>
          <w:rFonts w:ascii="Aptos" w:eastAsia="Aptos" w:hAnsi="Aptos" w:cs="Aptos"/>
          <w:sz w:val="24"/>
        </w:rPr>
        <w:t xml:space="preserve"> Henare Kani </w:t>
      </w:r>
    </w:p>
    <w:p w14:paraId="78FB6550" w14:textId="77777777" w:rsidR="00F725FF" w:rsidRDefault="00000000">
      <w:pPr>
        <w:spacing w:after="0" w:line="259" w:lineRule="auto"/>
        <w:ind w:left="0" w:firstLine="0"/>
      </w:pPr>
      <w:r>
        <w:rPr>
          <w:rFonts w:ascii="Aptos" w:eastAsia="Aptos" w:hAnsi="Aptos" w:cs="Aptos"/>
          <w:sz w:val="24"/>
        </w:rPr>
        <w:t xml:space="preserve"> </w:t>
      </w:r>
    </w:p>
    <w:p w14:paraId="5F6A97A3" w14:textId="77777777" w:rsidR="00F725FF" w:rsidRDefault="00000000">
      <w:pPr>
        <w:spacing w:after="0" w:line="259" w:lineRule="auto"/>
        <w:ind w:left="-5"/>
      </w:pPr>
      <w:proofErr w:type="spellStart"/>
      <w:r>
        <w:rPr>
          <w:rFonts w:ascii="Aptos" w:eastAsia="Aptos" w:hAnsi="Aptos" w:cs="Aptos"/>
          <w:b/>
          <w:sz w:val="24"/>
        </w:rPr>
        <w:t>Maumaharatanga</w:t>
      </w:r>
      <w:proofErr w:type="spellEnd"/>
      <w:r>
        <w:rPr>
          <w:rFonts w:ascii="Aptos" w:eastAsia="Aptos" w:hAnsi="Aptos" w:cs="Aptos"/>
          <w:b/>
          <w:sz w:val="24"/>
        </w:rPr>
        <w:t xml:space="preserve">:  </w:t>
      </w:r>
    </w:p>
    <w:p w14:paraId="17481F82" w14:textId="77777777" w:rsidR="00F725FF" w:rsidRDefault="00000000">
      <w:pPr>
        <w:spacing w:after="5"/>
        <w:ind w:left="-5"/>
      </w:pPr>
      <w:r>
        <w:rPr>
          <w:rFonts w:ascii="Aptos" w:eastAsia="Aptos" w:hAnsi="Aptos" w:cs="Aptos"/>
          <w:sz w:val="24"/>
        </w:rPr>
        <w:t xml:space="preserve">Phillip Sciascia, Karena </w:t>
      </w:r>
      <w:proofErr w:type="spellStart"/>
      <w:r>
        <w:rPr>
          <w:rFonts w:ascii="Aptos" w:eastAsia="Aptos" w:hAnsi="Aptos" w:cs="Aptos"/>
          <w:sz w:val="24"/>
        </w:rPr>
        <w:t>Waihape</w:t>
      </w:r>
      <w:proofErr w:type="spellEnd"/>
      <w:r>
        <w:rPr>
          <w:rFonts w:ascii="Aptos" w:eastAsia="Aptos" w:hAnsi="Aptos" w:cs="Aptos"/>
          <w:sz w:val="24"/>
        </w:rPr>
        <w:t xml:space="preserve">, Tangi </w:t>
      </w:r>
      <w:proofErr w:type="spellStart"/>
      <w:r>
        <w:rPr>
          <w:rFonts w:ascii="Aptos" w:eastAsia="Aptos" w:hAnsi="Aptos" w:cs="Aptos"/>
          <w:sz w:val="24"/>
        </w:rPr>
        <w:t>Taunoa</w:t>
      </w:r>
      <w:proofErr w:type="spellEnd"/>
      <w:r>
        <w:rPr>
          <w:rFonts w:ascii="Aptos" w:eastAsia="Aptos" w:hAnsi="Aptos" w:cs="Aptos"/>
          <w:sz w:val="24"/>
        </w:rPr>
        <w:t xml:space="preserve">, Raymond </w:t>
      </w:r>
      <w:proofErr w:type="spellStart"/>
      <w:r>
        <w:rPr>
          <w:rFonts w:ascii="Aptos" w:eastAsia="Aptos" w:hAnsi="Aptos" w:cs="Aptos"/>
          <w:sz w:val="24"/>
        </w:rPr>
        <w:t>Ropiha</w:t>
      </w:r>
      <w:proofErr w:type="spellEnd"/>
      <w:r>
        <w:rPr>
          <w:rFonts w:ascii="Aptos" w:eastAsia="Aptos" w:hAnsi="Aptos" w:cs="Aptos"/>
          <w:sz w:val="24"/>
        </w:rPr>
        <w:t xml:space="preserve">,  </w:t>
      </w:r>
      <w:proofErr w:type="spellStart"/>
      <w:r>
        <w:rPr>
          <w:rFonts w:ascii="Aptos" w:eastAsia="Aptos" w:hAnsi="Aptos" w:cs="Aptos"/>
          <w:sz w:val="24"/>
        </w:rPr>
        <w:t>Kapai</w:t>
      </w:r>
      <w:proofErr w:type="spellEnd"/>
      <w:r>
        <w:rPr>
          <w:rFonts w:ascii="Aptos" w:eastAsia="Aptos" w:hAnsi="Aptos" w:cs="Aptos"/>
          <w:sz w:val="24"/>
        </w:rPr>
        <w:t xml:space="preserve"> Wakefield, Teddy Kuru, Ashley </w:t>
      </w:r>
      <w:proofErr w:type="spellStart"/>
      <w:r>
        <w:rPr>
          <w:rFonts w:ascii="Aptos" w:eastAsia="Aptos" w:hAnsi="Aptos" w:cs="Aptos"/>
          <w:sz w:val="24"/>
        </w:rPr>
        <w:t>Petuha</w:t>
      </w:r>
      <w:proofErr w:type="spellEnd"/>
      <w:r>
        <w:rPr>
          <w:rFonts w:ascii="Aptos" w:eastAsia="Aptos" w:hAnsi="Aptos" w:cs="Aptos"/>
          <w:sz w:val="24"/>
        </w:rPr>
        <w:t xml:space="preserve">, Toby Kani, Abe Kani, Shane </w:t>
      </w:r>
      <w:proofErr w:type="spellStart"/>
      <w:r>
        <w:rPr>
          <w:rFonts w:ascii="Aptos" w:eastAsia="Aptos" w:hAnsi="Aptos" w:cs="Aptos"/>
          <w:sz w:val="24"/>
        </w:rPr>
        <w:t>Tutaki</w:t>
      </w:r>
      <w:proofErr w:type="spellEnd"/>
      <w:r>
        <w:rPr>
          <w:rFonts w:ascii="Aptos" w:eastAsia="Aptos" w:hAnsi="Aptos" w:cs="Aptos"/>
          <w:sz w:val="24"/>
        </w:rPr>
        <w:t xml:space="preserve">. Bobby Tipene, Peggy </w:t>
      </w:r>
    </w:p>
    <w:p w14:paraId="44ED8928" w14:textId="77777777" w:rsidR="00F725FF" w:rsidRDefault="00000000">
      <w:pPr>
        <w:spacing w:after="5"/>
        <w:ind w:left="-5"/>
      </w:pPr>
      <w:r>
        <w:rPr>
          <w:rFonts w:ascii="Aptos" w:eastAsia="Aptos" w:hAnsi="Aptos" w:cs="Aptos"/>
          <w:sz w:val="24"/>
        </w:rPr>
        <w:t xml:space="preserve">Sciascia </w:t>
      </w:r>
    </w:p>
    <w:p w14:paraId="67B38F95" w14:textId="77777777" w:rsidR="00F725FF" w:rsidRDefault="00000000">
      <w:pPr>
        <w:spacing w:after="0" w:line="259" w:lineRule="auto"/>
        <w:ind w:left="0" w:firstLine="0"/>
      </w:pPr>
      <w:r>
        <w:rPr>
          <w:rFonts w:ascii="Aptos" w:eastAsia="Aptos" w:hAnsi="Aptos" w:cs="Aptos"/>
          <w:sz w:val="24"/>
        </w:rPr>
        <w:t xml:space="preserve"> </w:t>
      </w:r>
    </w:p>
    <w:p w14:paraId="6E982EFA" w14:textId="77777777" w:rsidR="00F725FF" w:rsidRDefault="00000000">
      <w:pPr>
        <w:spacing w:after="0" w:line="259" w:lineRule="auto"/>
        <w:ind w:left="-5"/>
      </w:pPr>
      <w:r>
        <w:rPr>
          <w:rFonts w:ascii="Aptos" w:eastAsia="Aptos" w:hAnsi="Aptos" w:cs="Aptos"/>
          <w:b/>
          <w:sz w:val="24"/>
        </w:rPr>
        <w:t xml:space="preserve">Apologies:  </w:t>
      </w:r>
    </w:p>
    <w:p w14:paraId="5F4F2394" w14:textId="77777777" w:rsidR="00F725FF" w:rsidRDefault="00000000">
      <w:pPr>
        <w:spacing w:after="5"/>
        <w:ind w:left="-5"/>
      </w:pPr>
      <w:r>
        <w:rPr>
          <w:rFonts w:ascii="Aptos" w:eastAsia="Aptos" w:hAnsi="Aptos" w:cs="Aptos"/>
          <w:sz w:val="24"/>
        </w:rPr>
        <w:t xml:space="preserve">Karl Tipene, Jeremy Tipene, </w:t>
      </w:r>
      <w:proofErr w:type="spellStart"/>
      <w:r>
        <w:rPr>
          <w:rFonts w:ascii="Aptos" w:eastAsia="Aptos" w:hAnsi="Aptos" w:cs="Aptos"/>
          <w:sz w:val="24"/>
        </w:rPr>
        <w:t>Kerianne</w:t>
      </w:r>
      <w:proofErr w:type="spellEnd"/>
      <w:r>
        <w:rPr>
          <w:rFonts w:ascii="Aptos" w:eastAsia="Aptos" w:hAnsi="Aptos" w:cs="Aptos"/>
          <w:sz w:val="24"/>
        </w:rPr>
        <w:t xml:space="preserve"> Stephens, Deanne and Jennifer (Tipene) </w:t>
      </w:r>
    </w:p>
    <w:p w14:paraId="7A14E138" w14:textId="77777777" w:rsidR="00F725FF" w:rsidRDefault="00000000">
      <w:pPr>
        <w:spacing w:after="0" w:line="259" w:lineRule="auto"/>
        <w:ind w:left="0" w:firstLine="0"/>
      </w:pPr>
      <w:r>
        <w:rPr>
          <w:rFonts w:ascii="Aptos" w:eastAsia="Aptos" w:hAnsi="Aptos" w:cs="Aptos"/>
          <w:sz w:val="24"/>
        </w:rPr>
        <w:t xml:space="preserve"> </w:t>
      </w:r>
    </w:p>
    <w:p w14:paraId="0E11163C" w14:textId="36D4F15E" w:rsidR="00F725FF" w:rsidRDefault="00000000">
      <w:pPr>
        <w:spacing w:after="0" w:line="259" w:lineRule="auto"/>
        <w:ind w:left="-5"/>
      </w:pPr>
      <w:r>
        <w:rPr>
          <w:rFonts w:ascii="Aptos" w:eastAsia="Aptos" w:hAnsi="Aptos" w:cs="Aptos"/>
          <w:b/>
          <w:sz w:val="24"/>
        </w:rPr>
        <w:t>Ngāti Kere Hapū Authority</w:t>
      </w:r>
      <w:r w:rsidR="00836BD0">
        <w:rPr>
          <w:rFonts w:ascii="Aptos" w:eastAsia="Aptos" w:hAnsi="Aptos" w:cs="Aptos"/>
          <w:b/>
          <w:sz w:val="24"/>
        </w:rPr>
        <w:t xml:space="preserve"> strategy</w:t>
      </w:r>
      <w:r>
        <w:rPr>
          <w:rFonts w:ascii="Aptos" w:eastAsia="Aptos" w:hAnsi="Aptos" w:cs="Aptos"/>
          <w:b/>
          <w:sz w:val="24"/>
        </w:rPr>
        <w:t xml:space="preserve">: </w:t>
      </w:r>
    </w:p>
    <w:p w14:paraId="408EBD0F" w14:textId="0246084F" w:rsidR="00F725FF" w:rsidRDefault="00000000">
      <w:pPr>
        <w:spacing w:after="5"/>
        <w:ind w:left="-5"/>
      </w:pPr>
      <w:r>
        <w:rPr>
          <w:rFonts w:ascii="Aptos" w:eastAsia="Aptos" w:hAnsi="Aptos" w:cs="Aptos"/>
          <w:sz w:val="24"/>
        </w:rPr>
        <w:t>Small presentation made about board members (ele</w:t>
      </w:r>
      <w:r w:rsidR="00836BD0">
        <w:rPr>
          <w:rFonts w:ascii="Aptos" w:eastAsia="Aptos" w:hAnsi="Aptos" w:cs="Aptos"/>
          <w:sz w:val="24"/>
        </w:rPr>
        <w:t>c</w:t>
      </w:r>
      <w:r>
        <w:rPr>
          <w:rFonts w:ascii="Aptos" w:eastAsia="Aptos" w:hAnsi="Aptos" w:cs="Aptos"/>
          <w:sz w:val="24"/>
        </w:rPr>
        <w:t xml:space="preserve">tions, secondments and resignations), </w:t>
      </w:r>
      <w:r w:rsidR="00836BD0">
        <w:rPr>
          <w:rFonts w:ascii="Aptos" w:eastAsia="Aptos" w:hAnsi="Aptos" w:cs="Aptos"/>
          <w:sz w:val="24"/>
        </w:rPr>
        <w:t>off</w:t>
      </w:r>
      <w:r>
        <w:rPr>
          <w:rFonts w:ascii="Aptos" w:eastAsia="Aptos" w:hAnsi="Aptos" w:cs="Aptos"/>
          <w:sz w:val="24"/>
        </w:rPr>
        <w:t xml:space="preserve">icers and advisors, with a reminder of past AGMs and Ngāti Kere ‘values’ from the strategy document. </w:t>
      </w:r>
    </w:p>
    <w:p w14:paraId="3EF7CA4E" w14:textId="77777777" w:rsidR="00F725FF" w:rsidRDefault="00000000">
      <w:pPr>
        <w:spacing w:after="0" w:line="259" w:lineRule="auto"/>
        <w:ind w:left="0" w:firstLine="0"/>
      </w:pPr>
      <w:r>
        <w:rPr>
          <w:rFonts w:ascii="Aptos" w:eastAsia="Aptos" w:hAnsi="Aptos" w:cs="Aptos"/>
          <w:sz w:val="24"/>
        </w:rPr>
        <w:t xml:space="preserve"> </w:t>
      </w:r>
    </w:p>
    <w:p w14:paraId="4318F4B8" w14:textId="77777777" w:rsidR="00F725FF" w:rsidRDefault="00000000">
      <w:pPr>
        <w:spacing w:after="5"/>
        <w:ind w:left="-5"/>
      </w:pPr>
      <w:r>
        <w:rPr>
          <w:rFonts w:ascii="Aptos" w:eastAsia="Aptos" w:hAnsi="Aptos" w:cs="Aptos"/>
          <w:b/>
          <w:sz w:val="24"/>
        </w:rPr>
        <w:t>Minutes</w:t>
      </w:r>
      <w:r>
        <w:rPr>
          <w:rFonts w:ascii="Aptos" w:eastAsia="Aptos" w:hAnsi="Aptos" w:cs="Aptos"/>
          <w:sz w:val="24"/>
        </w:rPr>
        <w:t xml:space="preserve"> AGM 2023-2024: </w:t>
      </w:r>
    </w:p>
    <w:p w14:paraId="2F70FD47" w14:textId="77777777" w:rsidR="00F725FF" w:rsidRDefault="00000000">
      <w:pPr>
        <w:spacing w:after="0" w:line="259" w:lineRule="auto"/>
        <w:ind w:left="-5"/>
      </w:pPr>
      <w:r>
        <w:rPr>
          <w:rFonts w:ascii="Aptos" w:eastAsia="Aptos" w:hAnsi="Aptos" w:cs="Aptos"/>
          <w:sz w:val="24"/>
        </w:rPr>
        <w:t xml:space="preserve">Recorded as correct: </w:t>
      </w:r>
      <w:r>
        <w:rPr>
          <w:rFonts w:ascii="Aptos" w:eastAsia="Aptos" w:hAnsi="Aptos" w:cs="Aptos"/>
          <w:color w:val="ED0000"/>
          <w:sz w:val="24"/>
        </w:rPr>
        <w:t>Moved Jim Hutcheson, Seconded Anthony Tipene Matua</w:t>
      </w:r>
      <w:r>
        <w:rPr>
          <w:rFonts w:ascii="Aptos" w:eastAsia="Aptos" w:hAnsi="Aptos" w:cs="Aptos"/>
          <w:sz w:val="24"/>
        </w:rPr>
        <w:t xml:space="preserve"> </w:t>
      </w:r>
    </w:p>
    <w:p w14:paraId="1CB15CBE" w14:textId="77777777" w:rsidR="00F725FF" w:rsidRDefault="00000000">
      <w:pPr>
        <w:spacing w:after="0" w:line="259" w:lineRule="auto"/>
        <w:ind w:left="0" w:firstLine="0"/>
      </w:pPr>
      <w:r>
        <w:rPr>
          <w:rFonts w:ascii="Aptos" w:eastAsia="Aptos" w:hAnsi="Aptos" w:cs="Aptos"/>
          <w:sz w:val="24"/>
        </w:rPr>
        <w:t xml:space="preserve"> </w:t>
      </w:r>
    </w:p>
    <w:p w14:paraId="5B3FB798" w14:textId="77777777" w:rsidR="00F725FF" w:rsidRDefault="00000000">
      <w:pPr>
        <w:spacing w:after="5"/>
        <w:ind w:left="-5"/>
      </w:pPr>
      <w:r>
        <w:rPr>
          <w:rFonts w:ascii="Aptos" w:eastAsia="Aptos" w:hAnsi="Aptos" w:cs="Aptos"/>
          <w:b/>
          <w:sz w:val="24"/>
        </w:rPr>
        <w:t>Yearly 2024-2025 Report</w:t>
      </w:r>
      <w:r>
        <w:rPr>
          <w:rFonts w:ascii="Aptos" w:eastAsia="Aptos" w:hAnsi="Aptos" w:cs="Aptos"/>
          <w:sz w:val="24"/>
        </w:rPr>
        <w:t xml:space="preserve"> given under the topic areas of ‘Outside the gates’ … </w:t>
      </w:r>
    </w:p>
    <w:p w14:paraId="36732281" w14:textId="77777777" w:rsidR="00F725FF" w:rsidRDefault="00000000">
      <w:pPr>
        <w:spacing w:after="0" w:line="259" w:lineRule="auto"/>
        <w:ind w:left="0" w:firstLine="0"/>
      </w:pPr>
      <w:r>
        <w:rPr>
          <w:rFonts w:ascii="Aptos" w:eastAsia="Aptos" w:hAnsi="Aptos" w:cs="Aptos"/>
          <w:sz w:val="24"/>
        </w:rPr>
        <w:t xml:space="preserve"> </w:t>
      </w:r>
    </w:p>
    <w:p w14:paraId="79FF71FF" w14:textId="77777777" w:rsidR="00F725FF" w:rsidRDefault="00000000">
      <w:pPr>
        <w:spacing w:after="29" w:line="216" w:lineRule="auto"/>
        <w:ind w:left="0" w:firstLine="0"/>
      </w:pPr>
      <w:r>
        <w:rPr>
          <w:noProof/>
        </w:rPr>
        <w:drawing>
          <wp:inline distT="0" distB="0" distL="0" distR="0" wp14:anchorId="5F1490D3" wp14:editId="3304D6CE">
            <wp:extent cx="5730621" cy="2148840"/>
            <wp:effectExtent l="0" t="0" r="0" b="0"/>
            <wp:docPr id="148"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2"/>
                    <a:stretch>
                      <a:fillRect/>
                    </a:stretch>
                  </pic:blipFill>
                  <pic:spPr>
                    <a:xfrm>
                      <a:off x="0" y="0"/>
                      <a:ext cx="5730621" cy="2148840"/>
                    </a:xfrm>
                    <a:prstGeom prst="rect">
                      <a:avLst/>
                    </a:prstGeom>
                  </pic:spPr>
                </pic:pic>
              </a:graphicData>
            </a:graphic>
          </wp:inline>
        </w:drawing>
      </w:r>
      <w:r>
        <w:rPr>
          <w:rFonts w:ascii="Aptos" w:eastAsia="Aptos" w:hAnsi="Aptos" w:cs="Aptos"/>
          <w:sz w:val="24"/>
        </w:rPr>
        <w:t xml:space="preserve">  </w:t>
      </w:r>
    </w:p>
    <w:p w14:paraId="57C53A3F" w14:textId="77777777" w:rsidR="00F725FF" w:rsidRDefault="00000000">
      <w:pPr>
        <w:spacing w:after="5"/>
        <w:ind w:left="-5"/>
      </w:pPr>
      <w:r>
        <w:rPr>
          <w:rFonts w:ascii="Aptos" w:eastAsia="Aptos" w:hAnsi="Aptos" w:cs="Aptos"/>
          <w:sz w:val="24"/>
        </w:rPr>
        <w:t xml:space="preserve">… with lists of associated projects including  </w:t>
      </w:r>
    </w:p>
    <w:p w14:paraId="44587168" w14:textId="77777777" w:rsidR="00F725FF" w:rsidRDefault="00000000">
      <w:pPr>
        <w:spacing w:after="0" w:line="259" w:lineRule="auto"/>
        <w:ind w:left="0" w:firstLine="0"/>
      </w:pPr>
      <w:r>
        <w:rPr>
          <w:rFonts w:ascii="Aptos" w:eastAsia="Aptos" w:hAnsi="Aptos" w:cs="Aptos"/>
          <w:sz w:val="24"/>
        </w:rPr>
        <w:t xml:space="preserve"> </w:t>
      </w:r>
    </w:p>
    <w:p w14:paraId="55EE8760" w14:textId="53D0C941" w:rsidR="00F725FF" w:rsidRDefault="00000000" w:rsidP="000861A8">
      <w:pPr>
        <w:spacing w:after="5"/>
        <w:ind w:left="-5"/>
      </w:pPr>
      <w:r>
        <w:rPr>
          <w:rFonts w:ascii="Aptos" w:eastAsia="Aptos" w:hAnsi="Aptos" w:cs="Aptos"/>
          <w:sz w:val="24"/>
        </w:rPr>
        <w:t xml:space="preserve">WWTP, the Gabrielle flood, the recent fires, the Marae rebuild, submissions to Parliament, Blackhead Village-Parimahu, Te Angiangi Marine Reserve, MACA, the Pou </w:t>
      </w:r>
      <w:r>
        <w:rPr>
          <w:rFonts w:ascii="Aptos" w:eastAsia="Aptos" w:hAnsi="Aptos" w:cs="Aptos"/>
          <w:sz w:val="24"/>
        </w:rPr>
        <w:lastRenderedPageBreak/>
        <w:t xml:space="preserve">project, the </w:t>
      </w:r>
      <w:proofErr w:type="spellStart"/>
      <w:r>
        <w:rPr>
          <w:rFonts w:ascii="Aptos" w:eastAsia="Aptos" w:hAnsi="Aptos" w:cs="Aptos"/>
          <w:sz w:val="24"/>
        </w:rPr>
        <w:t>Tauihu</w:t>
      </w:r>
      <w:proofErr w:type="spellEnd"/>
      <w:r>
        <w:rPr>
          <w:rFonts w:ascii="Aptos" w:eastAsia="Aptos" w:hAnsi="Aptos" w:cs="Aptos"/>
          <w:sz w:val="24"/>
        </w:rPr>
        <w:t xml:space="preserve"> project, the Recollect project, CHBDC and HBRC Reserves, Beca (Fishing, Forestr</w:t>
      </w:r>
      <w:r w:rsidR="00836BD0">
        <w:rPr>
          <w:rFonts w:ascii="Aptos" w:eastAsia="Aptos" w:hAnsi="Aptos" w:cs="Aptos"/>
          <w:sz w:val="24"/>
        </w:rPr>
        <w:t>y</w:t>
      </w:r>
      <w:r>
        <w:rPr>
          <w:rFonts w:ascii="Aptos" w:eastAsia="Aptos" w:hAnsi="Aptos" w:cs="Aptos"/>
          <w:sz w:val="24"/>
        </w:rPr>
        <w:t xml:space="preserve"> and consultation).                           </w:t>
      </w:r>
    </w:p>
    <w:p w14:paraId="3ACC610A" w14:textId="77777777" w:rsidR="00F725FF" w:rsidRDefault="00000000">
      <w:pPr>
        <w:spacing w:after="0" w:line="259" w:lineRule="auto"/>
        <w:ind w:left="0" w:firstLine="0"/>
      </w:pPr>
      <w:r>
        <w:rPr>
          <w:rFonts w:ascii="Aptos" w:eastAsia="Aptos" w:hAnsi="Aptos" w:cs="Aptos"/>
          <w:b/>
          <w:sz w:val="24"/>
        </w:rPr>
        <w:t xml:space="preserve"> </w:t>
      </w:r>
    </w:p>
    <w:p w14:paraId="4DB39D71" w14:textId="77777777" w:rsidR="00F725FF" w:rsidRDefault="00000000">
      <w:pPr>
        <w:spacing w:after="0" w:line="259" w:lineRule="auto"/>
        <w:ind w:left="0" w:firstLine="0"/>
      </w:pPr>
      <w:r>
        <w:rPr>
          <w:rFonts w:ascii="Aptos" w:eastAsia="Aptos" w:hAnsi="Aptos" w:cs="Aptos"/>
          <w:b/>
          <w:sz w:val="24"/>
        </w:rPr>
        <w:t xml:space="preserve"> </w:t>
      </w:r>
    </w:p>
    <w:p w14:paraId="7EABC599" w14:textId="77777777" w:rsidR="00F725FF" w:rsidRDefault="00000000">
      <w:pPr>
        <w:spacing w:after="0" w:line="259" w:lineRule="auto"/>
        <w:ind w:left="-5"/>
      </w:pPr>
      <w:r>
        <w:rPr>
          <w:rFonts w:ascii="Aptos" w:eastAsia="Aptos" w:hAnsi="Aptos" w:cs="Aptos"/>
          <w:b/>
          <w:sz w:val="24"/>
        </w:rPr>
        <w:t>Finances April 2024 – March 2025:</w:t>
      </w:r>
      <w:r>
        <w:rPr>
          <w:rFonts w:ascii="Aptos" w:eastAsia="Aptos" w:hAnsi="Aptos" w:cs="Aptos"/>
          <w:sz w:val="24"/>
        </w:rPr>
        <w:t xml:space="preserve"> </w:t>
      </w:r>
    </w:p>
    <w:p w14:paraId="1EC87EB6" w14:textId="77777777" w:rsidR="00F725FF" w:rsidRDefault="00000000">
      <w:pPr>
        <w:spacing w:after="5"/>
        <w:ind w:left="-5"/>
      </w:pPr>
      <w:r>
        <w:rPr>
          <w:rFonts w:ascii="Aptos" w:eastAsia="Aptos" w:hAnsi="Aptos" w:cs="Aptos"/>
          <w:sz w:val="24"/>
        </w:rPr>
        <w:t xml:space="preserve">A summary was presented as below </w:t>
      </w:r>
    </w:p>
    <w:p w14:paraId="0CB1D6D3" w14:textId="77777777" w:rsidR="00F725FF" w:rsidRDefault="00000000">
      <w:pPr>
        <w:spacing w:after="0" w:line="259" w:lineRule="auto"/>
        <w:ind w:left="0" w:firstLine="0"/>
      </w:pPr>
      <w:r>
        <w:rPr>
          <w:rFonts w:ascii="Aptos" w:eastAsia="Aptos" w:hAnsi="Aptos" w:cs="Aptos"/>
          <w:sz w:val="24"/>
        </w:rPr>
        <w:t xml:space="preserve"> </w:t>
      </w:r>
    </w:p>
    <w:p w14:paraId="1D8B13CD" w14:textId="77777777" w:rsidR="00F725FF" w:rsidRDefault="00000000">
      <w:pPr>
        <w:spacing w:after="5"/>
        <w:ind w:left="-5"/>
      </w:pPr>
      <w:r>
        <w:rPr>
          <w:rFonts w:ascii="Aptos" w:eastAsia="Aptos" w:hAnsi="Aptos" w:cs="Aptos"/>
          <w:sz w:val="24"/>
          <w:u w:val="single" w:color="000000"/>
        </w:rPr>
        <w:t>Income</w:t>
      </w:r>
      <w:r>
        <w:rPr>
          <w:rFonts w:ascii="Aptos" w:eastAsia="Aptos" w:hAnsi="Aptos" w:cs="Aptos"/>
          <w:sz w:val="24"/>
        </w:rPr>
        <w:t xml:space="preserve">: $50,391  (Donations ~12k, Investment ~37k) </w:t>
      </w:r>
    </w:p>
    <w:p w14:paraId="7B836D52" w14:textId="77777777" w:rsidR="00F725FF" w:rsidRDefault="00000000">
      <w:pPr>
        <w:spacing w:after="5"/>
        <w:ind w:left="-5"/>
      </w:pPr>
      <w:r>
        <w:rPr>
          <w:rFonts w:ascii="Aptos" w:eastAsia="Aptos" w:hAnsi="Aptos" w:cs="Aptos"/>
          <w:sz w:val="24"/>
          <w:u w:val="single" w:color="000000"/>
        </w:rPr>
        <w:t>Expenses</w:t>
      </w:r>
      <w:r>
        <w:rPr>
          <w:rFonts w:ascii="Aptos" w:eastAsia="Aptos" w:hAnsi="Aptos" w:cs="Aptos"/>
          <w:sz w:val="24"/>
        </w:rPr>
        <w:t xml:space="preserve">: $94,552  30k back to PMC (was never ‘ours’) </w:t>
      </w:r>
    </w:p>
    <w:p w14:paraId="7C05D86C" w14:textId="77777777" w:rsidR="00F725FF" w:rsidRDefault="00000000">
      <w:pPr>
        <w:numPr>
          <w:ilvl w:val="0"/>
          <w:numId w:val="2"/>
        </w:numPr>
        <w:spacing w:after="5"/>
        <w:ind w:hanging="361"/>
      </w:pPr>
      <w:r>
        <w:rPr>
          <w:rFonts w:ascii="Aptos" w:eastAsia="Aptos" w:hAnsi="Aptos" w:cs="Aptos"/>
          <w:sz w:val="24"/>
        </w:rPr>
        <w:t xml:space="preserve">24,592 MACA legal costs (refundable) </w:t>
      </w:r>
    </w:p>
    <w:p w14:paraId="074CAE2F" w14:textId="77777777" w:rsidR="00F725FF" w:rsidRDefault="00000000">
      <w:pPr>
        <w:numPr>
          <w:ilvl w:val="0"/>
          <w:numId w:val="2"/>
        </w:numPr>
        <w:spacing w:after="5"/>
        <w:ind w:hanging="361"/>
      </w:pPr>
      <w:r>
        <w:rPr>
          <w:rFonts w:ascii="Aptos" w:eastAsia="Aptos" w:hAnsi="Aptos" w:cs="Aptos"/>
          <w:sz w:val="24"/>
        </w:rPr>
        <w:t xml:space="preserve">8.5k for accountants </w:t>
      </w:r>
    </w:p>
    <w:p w14:paraId="23C2F9CC" w14:textId="77777777" w:rsidR="00F725FF" w:rsidRDefault="00000000">
      <w:pPr>
        <w:numPr>
          <w:ilvl w:val="0"/>
          <w:numId w:val="2"/>
        </w:numPr>
        <w:spacing w:after="5"/>
        <w:ind w:hanging="361"/>
      </w:pPr>
      <w:r>
        <w:rPr>
          <w:rFonts w:ascii="Aptos" w:eastAsia="Aptos" w:hAnsi="Aptos" w:cs="Aptos"/>
          <w:sz w:val="24"/>
        </w:rPr>
        <w:t xml:space="preserve">7k for website </w:t>
      </w:r>
    </w:p>
    <w:p w14:paraId="09F5CDD8" w14:textId="77777777" w:rsidR="00F725FF" w:rsidRDefault="00000000">
      <w:pPr>
        <w:numPr>
          <w:ilvl w:val="0"/>
          <w:numId w:val="2"/>
        </w:numPr>
        <w:spacing w:after="5"/>
        <w:ind w:hanging="361"/>
      </w:pPr>
      <w:r>
        <w:rPr>
          <w:rFonts w:ascii="Aptos" w:eastAsia="Aptos" w:hAnsi="Aptos" w:cs="Aptos"/>
          <w:sz w:val="24"/>
        </w:rPr>
        <w:t xml:space="preserve">7k leftover flood expenses </w:t>
      </w:r>
    </w:p>
    <w:p w14:paraId="35E69CEE" w14:textId="77777777" w:rsidR="00F725FF" w:rsidRDefault="00000000">
      <w:pPr>
        <w:numPr>
          <w:ilvl w:val="0"/>
          <w:numId w:val="2"/>
        </w:numPr>
        <w:spacing w:after="5"/>
        <w:ind w:hanging="361"/>
      </w:pPr>
      <w:r>
        <w:rPr>
          <w:rFonts w:ascii="Aptos" w:eastAsia="Aptos" w:hAnsi="Aptos" w:cs="Aptos"/>
          <w:sz w:val="24"/>
        </w:rPr>
        <w:t xml:space="preserve">3.5k for NKHA expenses </w:t>
      </w:r>
    </w:p>
    <w:p w14:paraId="6B1F188C" w14:textId="77777777" w:rsidR="00F725FF" w:rsidRDefault="00000000">
      <w:pPr>
        <w:spacing w:after="5"/>
        <w:ind w:left="-5"/>
      </w:pPr>
      <w:r>
        <w:rPr>
          <w:rFonts w:ascii="Aptos" w:eastAsia="Aptos" w:hAnsi="Aptos" w:cs="Aptos"/>
          <w:sz w:val="24"/>
          <w:u w:val="single" w:color="000000"/>
        </w:rPr>
        <w:t>Assets</w:t>
      </w:r>
      <w:r>
        <w:rPr>
          <w:rFonts w:ascii="Aptos" w:eastAsia="Aptos" w:hAnsi="Aptos" w:cs="Aptos"/>
          <w:sz w:val="24"/>
        </w:rPr>
        <w:t xml:space="preserve">: Bank 103k, Investment 875k, other 11k (pre-NKHA investment in set-up) </w:t>
      </w:r>
    </w:p>
    <w:p w14:paraId="22FD94A5" w14:textId="77777777" w:rsidR="00F725FF" w:rsidRDefault="00000000">
      <w:pPr>
        <w:spacing w:after="0" w:line="259" w:lineRule="auto"/>
        <w:ind w:left="0" w:firstLine="0"/>
      </w:pPr>
      <w:r>
        <w:rPr>
          <w:rFonts w:ascii="Aptos" w:eastAsia="Aptos" w:hAnsi="Aptos" w:cs="Aptos"/>
          <w:sz w:val="24"/>
          <w:u w:val="single" w:color="000000"/>
        </w:rPr>
        <w:t>Liabilities:</w:t>
      </w:r>
      <w:r>
        <w:rPr>
          <w:rFonts w:ascii="Aptos" w:eastAsia="Aptos" w:hAnsi="Aptos" w:cs="Aptos"/>
          <w:sz w:val="24"/>
        </w:rPr>
        <w:t xml:space="preserve"> 2.5k </w:t>
      </w:r>
    </w:p>
    <w:p w14:paraId="753C3310" w14:textId="77777777" w:rsidR="00F725FF" w:rsidRDefault="00000000">
      <w:pPr>
        <w:spacing w:after="0" w:line="259" w:lineRule="auto"/>
        <w:ind w:left="0" w:firstLine="0"/>
      </w:pPr>
      <w:r>
        <w:rPr>
          <w:rFonts w:ascii="Aptos" w:eastAsia="Aptos" w:hAnsi="Aptos" w:cs="Aptos"/>
          <w:sz w:val="24"/>
        </w:rPr>
        <w:t xml:space="preserve"> </w:t>
      </w:r>
    </w:p>
    <w:p w14:paraId="217FE4B3" w14:textId="77777777" w:rsidR="00F725FF" w:rsidRDefault="00000000">
      <w:pPr>
        <w:spacing w:after="5"/>
        <w:ind w:left="-5"/>
      </w:pPr>
      <w:r>
        <w:rPr>
          <w:rFonts w:ascii="Aptos" w:eastAsia="Aptos" w:hAnsi="Aptos" w:cs="Aptos"/>
          <w:sz w:val="24"/>
        </w:rPr>
        <w:t xml:space="preserve">3 full reports available. None requested </w:t>
      </w:r>
    </w:p>
    <w:p w14:paraId="4275727B" w14:textId="77777777" w:rsidR="00F725FF" w:rsidRDefault="00000000">
      <w:pPr>
        <w:spacing w:after="0" w:line="259" w:lineRule="auto"/>
        <w:ind w:left="-5"/>
      </w:pPr>
      <w:r>
        <w:rPr>
          <w:rFonts w:ascii="Aptos" w:eastAsia="Aptos" w:hAnsi="Aptos" w:cs="Aptos"/>
          <w:sz w:val="24"/>
        </w:rPr>
        <w:t xml:space="preserve">Financial report accepted: </w:t>
      </w:r>
      <w:r>
        <w:rPr>
          <w:rFonts w:ascii="Aptos" w:eastAsia="Aptos" w:hAnsi="Aptos" w:cs="Aptos"/>
          <w:color w:val="ED0000"/>
          <w:sz w:val="24"/>
        </w:rPr>
        <w:t xml:space="preserve">Moved Henare Kani, Seconded Margaret Simeon </w:t>
      </w:r>
    </w:p>
    <w:p w14:paraId="2EB5AF27" w14:textId="77777777" w:rsidR="00F725FF" w:rsidRDefault="00000000">
      <w:pPr>
        <w:spacing w:after="0" w:line="259" w:lineRule="auto"/>
        <w:ind w:left="0" w:firstLine="0"/>
      </w:pPr>
      <w:r>
        <w:rPr>
          <w:rFonts w:ascii="Aptos" w:eastAsia="Aptos" w:hAnsi="Aptos" w:cs="Aptos"/>
          <w:color w:val="ED0000"/>
          <w:sz w:val="24"/>
        </w:rPr>
        <w:t xml:space="preserve"> </w:t>
      </w:r>
    </w:p>
    <w:p w14:paraId="0B0D362D" w14:textId="77777777" w:rsidR="00F725FF" w:rsidRDefault="00000000">
      <w:pPr>
        <w:spacing w:after="5"/>
        <w:ind w:left="-5"/>
      </w:pPr>
      <w:r>
        <w:rPr>
          <w:rFonts w:ascii="Aptos" w:eastAsia="Aptos" w:hAnsi="Aptos" w:cs="Aptos"/>
          <w:sz w:val="24"/>
        </w:rPr>
        <w:t xml:space="preserve">A note was made of present Investment account balance of 973k.  </w:t>
      </w:r>
    </w:p>
    <w:p w14:paraId="14E40902" w14:textId="77777777" w:rsidR="00F725FF" w:rsidRDefault="00000000">
      <w:pPr>
        <w:spacing w:after="0" w:line="259" w:lineRule="auto"/>
        <w:ind w:left="0" w:firstLine="0"/>
      </w:pPr>
      <w:r>
        <w:rPr>
          <w:rFonts w:ascii="Aptos" w:eastAsia="Aptos" w:hAnsi="Aptos" w:cs="Aptos"/>
          <w:sz w:val="24"/>
        </w:rPr>
        <w:t xml:space="preserve"> </w:t>
      </w:r>
    </w:p>
    <w:p w14:paraId="0B3A4F19" w14:textId="77777777" w:rsidR="00F725FF" w:rsidRDefault="00000000">
      <w:pPr>
        <w:spacing w:after="0" w:line="259" w:lineRule="auto"/>
        <w:ind w:left="-5"/>
      </w:pPr>
      <w:r>
        <w:rPr>
          <w:rFonts w:ascii="Aptos" w:eastAsia="Aptos" w:hAnsi="Aptos" w:cs="Aptos"/>
          <w:b/>
          <w:sz w:val="24"/>
        </w:rPr>
        <w:t xml:space="preserve">General business: </w:t>
      </w:r>
    </w:p>
    <w:p w14:paraId="56F91C7E" w14:textId="77777777" w:rsidR="00F725FF" w:rsidRDefault="00000000">
      <w:pPr>
        <w:spacing w:after="0" w:line="259" w:lineRule="auto"/>
        <w:ind w:left="0" w:firstLine="0"/>
      </w:pPr>
      <w:r>
        <w:rPr>
          <w:rFonts w:ascii="Aptos" w:eastAsia="Aptos" w:hAnsi="Aptos" w:cs="Aptos"/>
          <w:b/>
          <w:sz w:val="24"/>
        </w:rPr>
        <w:t xml:space="preserve"> </w:t>
      </w:r>
    </w:p>
    <w:p w14:paraId="2DC6E045" w14:textId="77777777" w:rsidR="00F725FF" w:rsidRDefault="00000000">
      <w:pPr>
        <w:spacing w:after="5"/>
        <w:ind w:left="-5"/>
      </w:pPr>
      <w:r>
        <w:rPr>
          <w:rFonts w:ascii="Aptos" w:eastAsia="Aptos" w:hAnsi="Aptos" w:cs="Aptos"/>
          <w:sz w:val="24"/>
        </w:rPr>
        <w:t xml:space="preserve">Robert </w:t>
      </w:r>
      <w:proofErr w:type="spellStart"/>
      <w:r>
        <w:rPr>
          <w:rFonts w:ascii="Aptos" w:eastAsia="Aptos" w:hAnsi="Aptos" w:cs="Aptos"/>
          <w:sz w:val="24"/>
        </w:rPr>
        <w:t>Ropiha</w:t>
      </w:r>
      <w:proofErr w:type="spellEnd"/>
      <w:r>
        <w:rPr>
          <w:rFonts w:ascii="Aptos" w:eastAsia="Aptos" w:hAnsi="Aptos" w:cs="Aptos"/>
          <w:sz w:val="24"/>
        </w:rPr>
        <w:t xml:space="preserve"> presented alternate track to Blackhead Village site through the </w:t>
      </w:r>
      <w:proofErr w:type="spellStart"/>
      <w:r>
        <w:rPr>
          <w:rFonts w:ascii="Aptos" w:eastAsia="Aptos" w:hAnsi="Aptos" w:cs="Aptos"/>
          <w:sz w:val="24"/>
        </w:rPr>
        <w:t>Pākowhai</w:t>
      </w:r>
      <w:proofErr w:type="spellEnd"/>
      <w:r>
        <w:rPr>
          <w:rFonts w:ascii="Aptos" w:eastAsia="Aptos" w:hAnsi="Aptos" w:cs="Aptos"/>
          <w:sz w:val="24"/>
        </w:rPr>
        <w:t xml:space="preserve"> block.  </w:t>
      </w:r>
    </w:p>
    <w:p w14:paraId="41969062" w14:textId="77777777" w:rsidR="00F725FF" w:rsidRDefault="00000000">
      <w:pPr>
        <w:spacing w:after="0" w:line="259" w:lineRule="auto"/>
        <w:ind w:left="0" w:firstLine="0"/>
      </w:pPr>
      <w:r>
        <w:rPr>
          <w:rFonts w:ascii="Aptos" w:eastAsia="Aptos" w:hAnsi="Aptos" w:cs="Aptos"/>
          <w:sz w:val="24"/>
        </w:rPr>
        <w:t xml:space="preserve"> </w:t>
      </w:r>
    </w:p>
    <w:p w14:paraId="482DC6DC" w14:textId="223C6B3B" w:rsidR="00F725FF" w:rsidRDefault="00000000">
      <w:pPr>
        <w:spacing w:after="5"/>
        <w:ind w:left="-5"/>
      </w:pPr>
      <w:r>
        <w:rPr>
          <w:rFonts w:ascii="Aptos" w:eastAsia="Aptos" w:hAnsi="Aptos" w:cs="Aptos"/>
          <w:sz w:val="24"/>
        </w:rPr>
        <w:t xml:space="preserve">Donald Tipene asked if EIT might also repair the </w:t>
      </w:r>
      <w:proofErr w:type="spellStart"/>
      <w:r>
        <w:rPr>
          <w:rFonts w:ascii="Aptos" w:eastAsia="Aptos" w:hAnsi="Aptos" w:cs="Aptos"/>
          <w:sz w:val="24"/>
        </w:rPr>
        <w:t>taurapa</w:t>
      </w:r>
      <w:proofErr w:type="spellEnd"/>
      <w:r>
        <w:rPr>
          <w:rFonts w:ascii="Aptos" w:eastAsia="Aptos" w:hAnsi="Aptos" w:cs="Aptos"/>
          <w:sz w:val="24"/>
        </w:rPr>
        <w:t xml:space="preserve"> to Tamatea </w:t>
      </w:r>
      <w:proofErr w:type="spellStart"/>
      <w:r>
        <w:rPr>
          <w:rFonts w:ascii="Aptos" w:eastAsia="Aptos" w:hAnsi="Aptos" w:cs="Aptos"/>
          <w:sz w:val="24"/>
        </w:rPr>
        <w:t>Arikinui</w:t>
      </w:r>
      <w:proofErr w:type="spellEnd"/>
      <w:r>
        <w:rPr>
          <w:rFonts w:ascii="Aptos" w:eastAsia="Aptos" w:hAnsi="Aptos" w:cs="Aptos"/>
          <w:sz w:val="24"/>
        </w:rPr>
        <w:t xml:space="preserve"> </w:t>
      </w:r>
    </w:p>
    <w:p w14:paraId="1F32B5CC" w14:textId="77777777" w:rsidR="00F725FF" w:rsidRDefault="00000000">
      <w:pPr>
        <w:spacing w:after="0" w:line="259" w:lineRule="auto"/>
        <w:ind w:left="0" w:firstLine="0"/>
      </w:pPr>
      <w:r>
        <w:rPr>
          <w:rFonts w:ascii="Aptos" w:eastAsia="Aptos" w:hAnsi="Aptos" w:cs="Aptos"/>
          <w:color w:val="ED0000"/>
          <w:sz w:val="24"/>
        </w:rPr>
        <w:t xml:space="preserve"> </w:t>
      </w:r>
    </w:p>
    <w:p w14:paraId="77751EB5" w14:textId="77777777" w:rsidR="00F725FF" w:rsidRDefault="00000000">
      <w:pPr>
        <w:spacing w:after="5"/>
        <w:ind w:left="-5"/>
      </w:pPr>
      <w:r>
        <w:rPr>
          <w:rFonts w:ascii="Aptos" w:eastAsia="Aptos" w:hAnsi="Aptos" w:cs="Aptos"/>
          <w:b/>
          <w:sz w:val="24"/>
        </w:rPr>
        <w:t>Karakia:</w:t>
      </w:r>
      <w:r>
        <w:rPr>
          <w:rFonts w:ascii="Aptos" w:eastAsia="Aptos" w:hAnsi="Aptos" w:cs="Aptos"/>
          <w:sz w:val="24"/>
        </w:rPr>
        <w:t xml:space="preserve"> Henare Kani </w:t>
      </w:r>
    </w:p>
    <w:p w14:paraId="63281085" w14:textId="77777777" w:rsidR="00F725FF" w:rsidRDefault="00000000">
      <w:pPr>
        <w:spacing w:after="0" w:line="259" w:lineRule="auto"/>
        <w:ind w:left="0" w:firstLine="0"/>
      </w:pPr>
      <w:r>
        <w:rPr>
          <w:rFonts w:ascii="Aptos" w:eastAsia="Aptos" w:hAnsi="Aptos" w:cs="Aptos"/>
          <w:sz w:val="24"/>
        </w:rPr>
        <w:t xml:space="preserve"> </w:t>
      </w:r>
    </w:p>
    <w:p w14:paraId="130EA772" w14:textId="77777777" w:rsidR="00F725FF" w:rsidRDefault="00F725FF">
      <w:pPr>
        <w:sectPr w:rsidR="00F725FF">
          <w:headerReference w:type="even" r:id="rId13"/>
          <w:headerReference w:type="default" r:id="rId14"/>
          <w:headerReference w:type="first" r:id="rId15"/>
          <w:pgSz w:w="11904" w:h="16838"/>
          <w:pgMar w:top="186" w:right="1391" w:bottom="1632" w:left="1440" w:header="720" w:footer="720" w:gutter="0"/>
          <w:cols w:space="720"/>
        </w:sectPr>
      </w:pPr>
    </w:p>
    <w:p w14:paraId="0707EAC2" w14:textId="77777777" w:rsidR="00830011" w:rsidRDefault="00830011">
      <w:pPr>
        <w:pStyle w:val="Heading2"/>
        <w:ind w:left="-5"/>
        <w:rPr>
          <w:u w:val="none"/>
        </w:rPr>
      </w:pPr>
    </w:p>
    <w:p w14:paraId="343A6DD2" w14:textId="3410E402" w:rsidR="00F725FF" w:rsidRDefault="00000000">
      <w:pPr>
        <w:pStyle w:val="Heading2"/>
        <w:ind w:left="-5"/>
      </w:pPr>
      <w:r>
        <w:rPr>
          <w:u w:val="none"/>
        </w:rPr>
        <w:t xml:space="preserve">Chair's Report to the 2026 Annual General Meeting (01.04.25 – 31.03.26)  </w:t>
      </w:r>
    </w:p>
    <w:p w14:paraId="4093EDFA" w14:textId="77777777" w:rsidR="00F725FF" w:rsidRDefault="00000000">
      <w:pPr>
        <w:spacing w:after="8"/>
        <w:ind w:left="-5"/>
      </w:pPr>
      <w:r>
        <w:t xml:space="preserve">Sep 28, 2026  </w:t>
      </w:r>
    </w:p>
    <w:p w14:paraId="061D5DC0" w14:textId="77777777" w:rsidR="00F725FF" w:rsidRDefault="00000000">
      <w:pPr>
        <w:spacing w:after="8"/>
        <w:ind w:left="-5"/>
      </w:pPr>
      <w:r>
        <w:t xml:space="preserve">David Tipene-Leach </w:t>
      </w:r>
    </w:p>
    <w:p w14:paraId="2FA23EA1" w14:textId="77777777" w:rsidR="00F725FF" w:rsidRDefault="00000000">
      <w:pPr>
        <w:spacing w:after="0" w:line="259" w:lineRule="auto"/>
        <w:ind w:left="0" w:firstLine="0"/>
      </w:pPr>
      <w:r>
        <w:t xml:space="preserve"> </w:t>
      </w:r>
    </w:p>
    <w:p w14:paraId="7E4982F2" w14:textId="77777777" w:rsidR="00F725FF" w:rsidRDefault="00000000">
      <w:pPr>
        <w:pStyle w:val="Heading3"/>
        <w:spacing w:after="136"/>
        <w:ind w:left="-5"/>
      </w:pPr>
      <w:proofErr w:type="spellStart"/>
      <w:r>
        <w:rPr>
          <w:sz w:val="22"/>
        </w:rPr>
        <w:t>Tēnā</w:t>
      </w:r>
      <w:proofErr w:type="spellEnd"/>
      <w:r>
        <w:rPr>
          <w:sz w:val="22"/>
        </w:rPr>
        <w:t xml:space="preserve"> koutou Ngāti Kere, Ngāti Manuhiri, Ngāti </w:t>
      </w:r>
      <w:proofErr w:type="spellStart"/>
      <w:r>
        <w:rPr>
          <w:sz w:val="22"/>
        </w:rPr>
        <w:t>Pīhere</w:t>
      </w:r>
      <w:proofErr w:type="spellEnd"/>
      <w:r>
        <w:rPr>
          <w:sz w:val="22"/>
        </w:rPr>
        <w:t>, Ngāti Hine-te-</w:t>
      </w:r>
      <w:proofErr w:type="spellStart"/>
      <w:r>
        <w:rPr>
          <w:sz w:val="22"/>
        </w:rPr>
        <w:t>wai</w:t>
      </w:r>
      <w:proofErr w:type="spellEnd"/>
      <w:r>
        <w:rPr>
          <w:sz w:val="22"/>
        </w:rPr>
        <w:t xml:space="preserve">  </w:t>
      </w:r>
    </w:p>
    <w:p w14:paraId="572D767A" w14:textId="77777777" w:rsidR="002C789C" w:rsidRDefault="00000000" w:rsidP="002C789C">
      <w:pPr>
        <w:spacing w:after="5"/>
        <w:ind w:left="-5"/>
      </w:pPr>
      <w:proofErr w:type="spellStart"/>
      <w:r>
        <w:rPr>
          <w:b/>
        </w:rPr>
        <w:t>Tangihia</w:t>
      </w:r>
      <w:proofErr w:type="spellEnd"/>
      <w:r>
        <w:rPr>
          <w:b/>
        </w:rPr>
        <w:t xml:space="preserve"> te </w:t>
      </w:r>
      <w:proofErr w:type="spellStart"/>
      <w:r>
        <w:rPr>
          <w:b/>
        </w:rPr>
        <w:t>āhuatanga</w:t>
      </w:r>
      <w:proofErr w:type="spellEnd"/>
      <w:r>
        <w:rPr>
          <w:b/>
        </w:rPr>
        <w:t xml:space="preserve"> ki ō </w:t>
      </w:r>
      <w:proofErr w:type="spellStart"/>
      <w:r>
        <w:rPr>
          <w:b/>
        </w:rPr>
        <w:t>tātau</w:t>
      </w:r>
      <w:proofErr w:type="spellEnd"/>
      <w:r>
        <w:rPr>
          <w:b/>
        </w:rPr>
        <w:t xml:space="preserve"> mate </w:t>
      </w:r>
      <w:proofErr w:type="spellStart"/>
      <w:r>
        <w:rPr>
          <w:b/>
        </w:rPr>
        <w:t>maha</w:t>
      </w:r>
      <w:proofErr w:type="spellEnd"/>
      <w:r>
        <w:t xml:space="preserve">. We remember those we have lost since we last met. </w:t>
      </w:r>
      <w:proofErr w:type="spellStart"/>
      <w:r>
        <w:t>Paora</w:t>
      </w:r>
      <w:proofErr w:type="spellEnd"/>
      <w:r>
        <w:t xml:space="preserve"> Sciascia, Johnny </w:t>
      </w:r>
      <w:proofErr w:type="spellStart"/>
      <w:r>
        <w:t>Nepe-Apatu</w:t>
      </w:r>
      <w:proofErr w:type="spellEnd"/>
      <w:r>
        <w:t xml:space="preserve"> and Wini </w:t>
      </w:r>
      <w:proofErr w:type="spellStart"/>
      <w:r>
        <w:t>Apatu</w:t>
      </w:r>
      <w:proofErr w:type="spellEnd"/>
      <w:r>
        <w:t xml:space="preserve"> remain firmly in our minds. </w:t>
      </w:r>
    </w:p>
    <w:p w14:paraId="0838AF1D" w14:textId="77777777" w:rsidR="002C789C" w:rsidRDefault="002C789C" w:rsidP="002C789C">
      <w:pPr>
        <w:spacing w:after="5"/>
        <w:ind w:left="-5"/>
      </w:pPr>
    </w:p>
    <w:p w14:paraId="54B87EE9" w14:textId="0A04C910" w:rsidR="002C789C" w:rsidRDefault="00015336" w:rsidP="002C789C">
      <w:pPr>
        <w:spacing w:after="5"/>
        <w:ind w:left="-5"/>
      </w:pPr>
      <w:r>
        <w:t>And before them</w:t>
      </w:r>
      <w:r w:rsidR="002C789C">
        <w:t>:</w:t>
      </w:r>
      <w:r w:rsidR="00836BD0">
        <w:t xml:space="preserve"> </w:t>
      </w:r>
      <w:proofErr w:type="spellStart"/>
      <w:r>
        <w:t>Ahitana</w:t>
      </w:r>
      <w:proofErr w:type="spellEnd"/>
      <w:r>
        <w:t xml:space="preserve"> </w:t>
      </w:r>
      <w:proofErr w:type="spellStart"/>
      <w:r>
        <w:t>Tutaki</w:t>
      </w:r>
      <w:proofErr w:type="spellEnd"/>
      <w:r>
        <w:t xml:space="preserve">, </w:t>
      </w:r>
      <w:r w:rsidR="002C789C">
        <w:t xml:space="preserve">Judy Sciascia, </w:t>
      </w:r>
      <w:r>
        <w:t xml:space="preserve">Pauline </w:t>
      </w:r>
      <w:r w:rsidR="002C789C">
        <w:t>McDonald</w:t>
      </w:r>
      <w:r w:rsidR="002C789C" w:rsidRPr="002C789C">
        <w:t xml:space="preserve">, Hine Hynes, Richard Douglas, Tangi </w:t>
      </w:r>
      <w:proofErr w:type="spellStart"/>
      <w:r w:rsidR="002C789C" w:rsidRPr="002C789C">
        <w:t>Taunoa</w:t>
      </w:r>
      <w:proofErr w:type="spellEnd"/>
      <w:r w:rsidR="002C789C" w:rsidRPr="002C789C">
        <w:t xml:space="preserve">, Hector McDonald, </w:t>
      </w:r>
      <w:r w:rsidR="002C789C">
        <w:t xml:space="preserve">Huna </w:t>
      </w:r>
      <w:proofErr w:type="spellStart"/>
      <w:r w:rsidR="002C789C">
        <w:t>Houkamau</w:t>
      </w:r>
      <w:proofErr w:type="spellEnd"/>
      <w:r w:rsidR="002C789C">
        <w:t xml:space="preserve"> </w:t>
      </w:r>
    </w:p>
    <w:p w14:paraId="4FB1A5D4" w14:textId="77777777" w:rsidR="002C789C" w:rsidRDefault="002C789C" w:rsidP="002C789C">
      <w:pPr>
        <w:spacing w:after="5"/>
        <w:ind w:left="-5"/>
      </w:pPr>
    </w:p>
    <w:p w14:paraId="653183A9" w14:textId="23084D21" w:rsidR="00F725FF" w:rsidRDefault="002C789C" w:rsidP="002C789C">
      <w:pPr>
        <w:spacing w:after="5"/>
        <w:ind w:left="-5"/>
        <w:rPr>
          <w:szCs w:val="22"/>
        </w:rPr>
      </w:pPr>
      <w:r w:rsidRPr="002C789C">
        <w:t xml:space="preserve">and before </w:t>
      </w:r>
      <w:r w:rsidRPr="002C789C">
        <w:rPr>
          <w:szCs w:val="22"/>
        </w:rPr>
        <w:t>them</w:t>
      </w:r>
      <w:r w:rsidR="00015336">
        <w:rPr>
          <w:szCs w:val="22"/>
        </w:rPr>
        <w:t>:</w:t>
      </w:r>
      <w:r w:rsidRPr="002C789C">
        <w:rPr>
          <w:szCs w:val="22"/>
        </w:rPr>
        <w:t xml:space="preserve"> </w:t>
      </w:r>
      <w:r w:rsidRPr="002C789C">
        <w:rPr>
          <w:rFonts w:eastAsia="Aptos"/>
          <w:szCs w:val="22"/>
        </w:rPr>
        <w:t xml:space="preserve">Phillip Sciascia, Karena </w:t>
      </w:r>
      <w:proofErr w:type="spellStart"/>
      <w:r w:rsidRPr="002C789C">
        <w:rPr>
          <w:rFonts w:eastAsia="Aptos"/>
          <w:szCs w:val="22"/>
        </w:rPr>
        <w:t>Waihape</w:t>
      </w:r>
      <w:proofErr w:type="spellEnd"/>
      <w:r w:rsidRPr="002C789C">
        <w:rPr>
          <w:rFonts w:eastAsia="Aptos"/>
          <w:szCs w:val="22"/>
        </w:rPr>
        <w:t xml:space="preserve">, Tangi </w:t>
      </w:r>
      <w:proofErr w:type="spellStart"/>
      <w:r w:rsidRPr="002C789C">
        <w:rPr>
          <w:rFonts w:eastAsia="Aptos"/>
          <w:szCs w:val="22"/>
        </w:rPr>
        <w:t>Taunoa</w:t>
      </w:r>
      <w:proofErr w:type="spellEnd"/>
      <w:r w:rsidRPr="002C789C">
        <w:rPr>
          <w:rFonts w:eastAsia="Aptos"/>
          <w:szCs w:val="22"/>
        </w:rPr>
        <w:t xml:space="preserve">, Raymond </w:t>
      </w:r>
      <w:proofErr w:type="spellStart"/>
      <w:r w:rsidRPr="002C789C">
        <w:rPr>
          <w:rFonts w:eastAsia="Aptos"/>
          <w:szCs w:val="22"/>
        </w:rPr>
        <w:t>Ropiha</w:t>
      </w:r>
      <w:proofErr w:type="spellEnd"/>
      <w:r w:rsidRPr="002C789C">
        <w:rPr>
          <w:rFonts w:eastAsia="Aptos"/>
          <w:szCs w:val="22"/>
        </w:rPr>
        <w:t xml:space="preserve">,  </w:t>
      </w:r>
      <w:proofErr w:type="spellStart"/>
      <w:r w:rsidRPr="002C789C">
        <w:rPr>
          <w:rFonts w:eastAsia="Aptos"/>
          <w:szCs w:val="22"/>
        </w:rPr>
        <w:t>Kapai</w:t>
      </w:r>
      <w:proofErr w:type="spellEnd"/>
      <w:r w:rsidRPr="002C789C">
        <w:rPr>
          <w:rFonts w:eastAsia="Aptos"/>
          <w:szCs w:val="22"/>
        </w:rPr>
        <w:t xml:space="preserve"> Wakefield, Teddy Kuru, Ashley </w:t>
      </w:r>
      <w:proofErr w:type="spellStart"/>
      <w:r w:rsidRPr="002C789C">
        <w:rPr>
          <w:rFonts w:eastAsia="Aptos"/>
          <w:szCs w:val="22"/>
        </w:rPr>
        <w:t>Petuha</w:t>
      </w:r>
      <w:proofErr w:type="spellEnd"/>
      <w:r w:rsidRPr="002C789C">
        <w:rPr>
          <w:rFonts w:eastAsia="Aptos"/>
          <w:szCs w:val="22"/>
        </w:rPr>
        <w:t xml:space="preserve">, Toby Kani, Abe Kani, Shane </w:t>
      </w:r>
      <w:proofErr w:type="spellStart"/>
      <w:r w:rsidRPr="002C789C">
        <w:rPr>
          <w:rFonts w:eastAsia="Aptos"/>
          <w:szCs w:val="22"/>
        </w:rPr>
        <w:t>Tutaki</w:t>
      </w:r>
      <w:proofErr w:type="spellEnd"/>
      <w:r>
        <w:rPr>
          <w:rFonts w:eastAsia="Aptos"/>
          <w:szCs w:val="22"/>
        </w:rPr>
        <w:t>,</w:t>
      </w:r>
      <w:r w:rsidRPr="002C789C">
        <w:rPr>
          <w:rFonts w:eastAsia="Aptos"/>
          <w:szCs w:val="22"/>
        </w:rPr>
        <w:t xml:space="preserve"> Bobby Tipene, Peggy Sciascia</w:t>
      </w:r>
      <w:r>
        <w:rPr>
          <w:rFonts w:eastAsia="Aptos"/>
          <w:szCs w:val="22"/>
        </w:rPr>
        <w:t>, Donny Sciascia</w:t>
      </w:r>
      <w:r w:rsidRPr="002C789C">
        <w:rPr>
          <w:rFonts w:eastAsia="Aptos"/>
          <w:szCs w:val="22"/>
        </w:rPr>
        <w:t xml:space="preserve"> </w:t>
      </w:r>
    </w:p>
    <w:p w14:paraId="73DC8904" w14:textId="77777777" w:rsidR="002C789C" w:rsidRPr="002C789C" w:rsidRDefault="002C789C" w:rsidP="002C789C">
      <w:pPr>
        <w:spacing w:after="5"/>
        <w:ind w:left="-5"/>
        <w:rPr>
          <w:szCs w:val="22"/>
        </w:rPr>
      </w:pPr>
    </w:p>
    <w:p w14:paraId="3794CD13" w14:textId="77777777" w:rsidR="00F725FF" w:rsidRDefault="00000000">
      <w:pPr>
        <w:ind w:left="-5"/>
      </w:pPr>
      <w:r>
        <w:rPr>
          <w:b/>
        </w:rPr>
        <w:t>Ngā kaupapa nui o NKHA:</w:t>
      </w:r>
      <w:r>
        <w:t xml:space="preserve"> Our task is to develop and coordinate hapū activities that occur 'outside the marae' with an emphasis on, for example, regional development and resource management, coastal and marine issues, economic development, repatriation of taonga tuku iho, the return of Treaty of Waitangi Land Settlement lands and other lands outside the Settlement process, and the investment of the initial distribution of assets from the Heretaunga Tamatea PSGE to Ngāti Kere. This report covers the work of the Ngāti Kere Hapū Authority (NKHA) from 1 April 2025- 31 March 2026. It sets out what we did on each project, where each project stands, and what is still to do. </w:t>
      </w:r>
    </w:p>
    <w:p w14:paraId="628C3435" w14:textId="6AD7B856" w:rsidR="00F725FF" w:rsidRDefault="00000000">
      <w:pPr>
        <w:spacing w:after="0" w:line="259" w:lineRule="auto"/>
        <w:ind w:left="-5"/>
      </w:pPr>
      <w:r>
        <w:rPr>
          <w:b/>
          <w:u w:val="single" w:color="000000"/>
        </w:rPr>
        <w:t>Things done well</w:t>
      </w:r>
      <w:r w:rsidR="002C789C">
        <w:rPr>
          <w:b/>
          <w:u w:val="single" w:color="000000"/>
        </w:rPr>
        <w:t xml:space="preserve"> so far</w:t>
      </w:r>
      <w:r>
        <w:rPr>
          <w:b/>
        </w:rPr>
        <w:t xml:space="preserve">:  </w:t>
      </w:r>
    </w:p>
    <w:p w14:paraId="37BBBB15" w14:textId="77777777" w:rsidR="00F725FF" w:rsidRDefault="00000000">
      <w:pPr>
        <w:numPr>
          <w:ilvl w:val="0"/>
          <w:numId w:val="3"/>
        </w:numPr>
        <w:spacing w:after="11"/>
        <w:ind w:hanging="200"/>
      </w:pPr>
      <w:r>
        <w:t xml:space="preserve">addressing issues as they arise: Parimahu track, Te Angiangi Marine Reserve, flood issues (rebuild and cultural monitoring) and fire issues with INGKA  </w:t>
      </w:r>
    </w:p>
    <w:p w14:paraId="3804E8B3" w14:textId="77777777" w:rsidR="00F725FF" w:rsidRDefault="00000000">
      <w:pPr>
        <w:numPr>
          <w:ilvl w:val="0"/>
          <w:numId w:val="3"/>
        </w:numPr>
        <w:spacing w:after="11"/>
        <w:ind w:hanging="200"/>
      </w:pPr>
      <w:r>
        <w:t xml:space="preserve">follow-up on Treaty Settlement issues: Blackhead Village site, Te Poho-o-Kahungunu carvings repatriation, MACA claim,  </w:t>
      </w:r>
    </w:p>
    <w:p w14:paraId="2F5FED3A" w14:textId="77777777" w:rsidR="00F725FF" w:rsidRDefault="00000000">
      <w:pPr>
        <w:numPr>
          <w:ilvl w:val="0"/>
          <w:numId w:val="3"/>
        </w:numPr>
        <w:spacing w:after="8"/>
        <w:ind w:hanging="200"/>
      </w:pPr>
      <w:r>
        <w:t xml:space="preserve">looking after the capital: excellent accounting practice, investment of Treaty Settlement capital </w:t>
      </w:r>
    </w:p>
    <w:p w14:paraId="0E1C8784" w14:textId="77777777" w:rsidR="00F725FF" w:rsidRDefault="00000000">
      <w:pPr>
        <w:spacing w:after="0" w:line="259" w:lineRule="auto"/>
        <w:ind w:left="0" w:firstLine="0"/>
      </w:pPr>
      <w:r>
        <w:t xml:space="preserve"> </w:t>
      </w:r>
    </w:p>
    <w:p w14:paraId="77878454" w14:textId="51D96F23" w:rsidR="00F725FF" w:rsidRDefault="00000000">
      <w:pPr>
        <w:spacing w:after="0" w:line="259" w:lineRule="auto"/>
        <w:ind w:left="-5"/>
      </w:pPr>
      <w:r>
        <w:rPr>
          <w:b/>
          <w:u w:val="single" w:color="000000"/>
        </w:rPr>
        <w:t xml:space="preserve">Things </w:t>
      </w:r>
      <w:r w:rsidR="002C789C">
        <w:rPr>
          <w:b/>
          <w:u w:val="single" w:color="000000"/>
        </w:rPr>
        <w:t xml:space="preserve">still </w:t>
      </w:r>
      <w:r>
        <w:rPr>
          <w:b/>
          <w:u w:val="single" w:color="000000"/>
        </w:rPr>
        <w:t>developing</w:t>
      </w:r>
      <w:r>
        <w:rPr>
          <w:b/>
        </w:rPr>
        <w:t xml:space="preserve">:  </w:t>
      </w:r>
    </w:p>
    <w:p w14:paraId="24EC7F42" w14:textId="77777777" w:rsidR="00F725FF" w:rsidRDefault="00000000">
      <w:pPr>
        <w:numPr>
          <w:ilvl w:val="0"/>
          <w:numId w:val="3"/>
        </w:numPr>
        <w:spacing w:after="8"/>
        <w:ind w:hanging="200"/>
      </w:pPr>
      <w:r>
        <w:t xml:space="preserve">coastal visibility project </w:t>
      </w:r>
    </w:p>
    <w:p w14:paraId="1FDABA4E" w14:textId="77777777" w:rsidR="00F725FF" w:rsidRDefault="00000000">
      <w:pPr>
        <w:numPr>
          <w:ilvl w:val="0"/>
          <w:numId w:val="3"/>
        </w:numPr>
        <w:spacing w:after="8"/>
        <w:ind w:hanging="200"/>
      </w:pPr>
      <w:r>
        <w:t xml:space="preserve">(early) economic development  </w:t>
      </w:r>
    </w:p>
    <w:p w14:paraId="252A0613" w14:textId="77777777" w:rsidR="00F725FF" w:rsidRDefault="00000000">
      <w:pPr>
        <w:numPr>
          <w:ilvl w:val="0"/>
          <w:numId w:val="3"/>
        </w:numPr>
        <w:spacing w:after="8"/>
        <w:ind w:hanging="200"/>
      </w:pPr>
      <w:r>
        <w:t xml:space="preserve">strategy with </w:t>
      </w:r>
      <w:proofErr w:type="spellStart"/>
      <w:r>
        <w:t>Rongomaraeroa</w:t>
      </w:r>
      <w:proofErr w:type="spellEnd"/>
      <w:r>
        <w:t xml:space="preserve"> Trustees </w:t>
      </w:r>
    </w:p>
    <w:p w14:paraId="5837C22B" w14:textId="77777777" w:rsidR="00F725FF" w:rsidRDefault="00000000">
      <w:pPr>
        <w:spacing w:after="0" w:line="259" w:lineRule="auto"/>
        <w:ind w:left="0" w:firstLine="0"/>
      </w:pPr>
      <w:r>
        <w:t xml:space="preserve"> </w:t>
      </w:r>
    </w:p>
    <w:p w14:paraId="6E20DF75" w14:textId="77777777" w:rsidR="00F725FF" w:rsidRDefault="00000000">
      <w:pPr>
        <w:spacing w:after="0" w:line="259" w:lineRule="auto"/>
        <w:ind w:left="-5"/>
      </w:pPr>
      <w:r>
        <w:rPr>
          <w:b/>
          <w:u w:val="single" w:color="000000"/>
        </w:rPr>
        <w:t>Things not addressed well:</w:t>
      </w:r>
      <w:r>
        <w:rPr>
          <w:b/>
        </w:rPr>
        <w:t xml:space="preserve">  </w:t>
      </w:r>
    </w:p>
    <w:p w14:paraId="7E2984A9" w14:textId="77777777" w:rsidR="00F725FF" w:rsidRDefault="00000000">
      <w:pPr>
        <w:numPr>
          <w:ilvl w:val="0"/>
          <w:numId w:val="3"/>
        </w:numPr>
        <w:spacing w:after="8"/>
        <w:ind w:hanging="200"/>
      </w:pPr>
      <w:r>
        <w:t xml:space="preserve">forward thinking and planning  </w:t>
      </w:r>
    </w:p>
    <w:p w14:paraId="08B54BE8" w14:textId="3259E6C5" w:rsidR="002C789C" w:rsidRDefault="00000000" w:rsidP="00830011">
      <w:pPr>
        <w:spacing w:after="194" w:line="259" w:lineRule="auto"/>
        <w:ind w:left="0" w:firstLine="0"/>
      </w:pPr>
      <w:r>
        <w:t xml:space="preserve"> </w:t>
      </w:r>
    </w:p>
    <w:p w14:paraId="4BB9DAEF" w14:textId="77777777" w:rsidR="00830011" w:rsidRDefault="00830011">
      <w:pPr>
        <w:pStyle w:val="Heading2"/>
        <w:ind w:left="-5"/>
      </w:pPr>
    </w:p>
    <w:p w14:paraId="57CADD36" w14:textId="1C859535" w:rsidR="00F725FF" w:rsidRDefault="00000000">
      <w:pPr>
        <w:pStyle w:val="Heading2"/>
        <w:ind w:left="-5"/>
      </w:pPr>
      <w:r>
        <w:t>The 01.04.25 – 31.03.26 year in summary</w:t>
      </w:r>
      <w:r>
        <w:rPr>
          <w:u w:val="none"/>
        </w:rPr>
        <w:t xml:space="preserve"> </w:t>
      </w:r>
    </w:p>
    <w:p w14:paraId="0EA6EC6B" w14:textId="77777777" w:rsidR="002C789C" w:rsidRDefault="002C789C">
      <w:pPr>
        <w:spacing w:after="8"/>
        <w:ind w:left="-5"/>
      </w:pPr>
    </w:p>
    <w:p w14:paraId="1C9534D7" w14:textId="7678AD8D" w:rsidR="00F725FF" w:rsidRDefault="00000000">
      <w:pPr>
        <w:spacing w:after="8"/>
        <w:ind w:left="-5"/>
      </w:pPr>
      <w:r>
        <w:t xml:space="preserve">This was a year of hard-won gains and one serious setback. After eight years of work our </w:t>
      </w:r>
      <w:proofErr w:type="spellStart"/>
      <w:r>
        <w:t>Takutai</w:t>
      </w:r>
      <w:proofErr w:type="spellEnd"/>
      <w:r>
        <w:t xml:space="preserve"> Moana </w:t>
      </w:r>
    </w:p>
    <w:p w14:paraId="2318D5E1" w14:textId="77777777" w:rsidR="00F725FF" w:rsidRDefault="00000000">
      <w:pPr>
        <w:spacing w:after="8"/>
        <w:ind w:left="-5"/>
      </w:pPr>
      <w:r w:rsidRPr="00953AFA">
        <w:rPr>
          <w:highlight w:val="yellow"/>
        </w:rPr>
        <w:t>(</w:t>
      </w:r>
      <w:r w:rsidRPr="00953AFA">
        <w:rPr>
          <w:highlight w:val="yellow"/>
          <w:u w:val="single" w:color="000000"/>
        </w:rPr>
        <w:t>Marine and Coastal Area</w:t>
      </w:r>
      <w:r w:rsidRPr="00953AFA">
        <w:rPr>
          <w:highlight w:val="yellow"/>
        </w:rPr>
        <w:t>)</w:t>
      </w:r>
      <w:r>
        <w:t xml:space="preserve"> claim delivered Customary Marine Title from </w:t>
      </w:r>
      <w:proofErr w:type="spellStart"/>
      <w:r>
        <w:t>Ōuepoto</w:t>
      </w:r>
      <w:proofErr w:type="spellEnd"/>
      <w:r>
        <w:t xml:space="preserve"> to Wainui, Protected </w:t>
      </w:r>
    </w:p>
    <w:p w14:paraId="0AD1CDF1" w14:textId="77777777" w:rsidR="00F725FF" w:rsidRDefault="00000000">
      <w:pPr>
        <w:spacing w:after="101"/>
        <w:ind w:left="-5"/>
      </w:pPr>
      <w:r>
        <w:t xml:space="preserve">Customary Rights for whitebait and </w:t>
      </w:r>
      <w:proofErr w:type="spellStart"/>
      <w:r>
        <w:t>pīngao</w:t>
      </w:r>
      <w:proofErr w:type="spellEnd"/>
      <w:r>
        <w:t>, and eight wāhi tapu. The Marine and Coastal Area (</w:t>
      </w:r>
      <w:proofErr w:type="spellStart"/>
      <w:r>
        <w:t>Takutai</w:t>
      </w:r>
      <w:proofErr w:type="spellEnd"/>
      <w:r>
        <w:t xml:space="preserve"> Moana) (Customary Marine Title) Amendment Bill then reversed those gains. We probably will have to "do it all again" – this depends on what the next government does.</w:t>
      </w:r>
      <w:r>
        <w:rPr>
          <w:b/>
          <w:sz w:val="28"/>
        </w:rPr>
        <w:t xml:space="preserve"> </w:t>
      </w:r>
    </w:p>
    <w:p w14:paraId="2DD648AE" w14:textId="77777777" w:rsidR="00F725FF" w:rsidRDefault="00000000">
      <w:pPr>
        <w:ind w:left="-5"/>
      </w:pPr>
      <w:r>
        <w:t xml:space="preserve">On the land, the </w:t>
      </w:r>
      <w:proofErr w:type="spellStart"/>
      <w:r>
        <w:t>Tamateapōkaiwhenua</w:t>
      </w:r>
      <w:proofErr w:type="spellEnd"/>
      <w:r>
        <w:t xml:space="preserve"> PSGE board voted on 29 April 2025 to return to Ngāti Kere the </w:t>
      </w:r>
      <w:r w:rsidRPr="00953AFA">
        <w:rPr>
          <w:highlight w:val="yellow"/>
          <w:u w:val="single" w:color="000000"/>
        </w:rPr>
        <w:t>Blackhead Village</w:t>
      </w:r>
      <w:r>
        <w:t xml:space="preserve"> site. We have that land valuation in hand, and we await the negotiation around ‘price to be paid’. TPW has a new chair and I expect progress soon.  </w:t>
      </w:r>
    </w:p>
    <w:p w14:paraId="10AF028C" w14:textId="77777777" w:rsidR="00F725FF" w:rsidRDefault="00000000">
      <w:pPr>
        <w:spacing w:after="8"/>
        <w:ind w:left="-5"/>
      </w:pPr>
      <w:r>
        <w:t xml:space="preserve">We have been working with the Gordons, the Hunters and the Central Hawke's Bay District Council </w:t>
      </w:r>
    </w:p>
    <w:p w14:paraId="25016557" w14:textId="77777777" w:rsidR="00F725FF" w:rsidRDefault="00000000">
      <w:pPr>
        <w:ind w:left="-5"/>
      </w:pPr>
      <w:r>
        <w:t xml:space="preserve">(CHBDC) on a land swap that would give us </w:t>
      </w:r>
      <w:r w:rsidRPr="00953AFA">
        <w:rPr>
          <w:highlight w:val="yellow"/>
          <w:u w:val="single" w:color="000000"/>
        </w:rPr>
        <w:t>ownership of the access track to Parimahu</w:t>
      </w:r>
      <w:r w:rsidRPr="00953AFA">
        <w:rPr>
          <w:highlight w:val="yellow"/>
        </w:rPr>
        <w:t>.</w:t>
      </w:r>
      <w:r>
        <w:t xml:space="preserve"> A recent development has been the possibility of buying the southern section of Parimahu Station. We await land valuation and discussion with the hapū. The main outcome the NKHA board seek is possession of an absolutely permanent access to Parimahu for the hapū. </w:t>
      </w:r>
    </w:p>
    <w:p w14:paraId="572477DE" w14:textId="77777777" w:rsidR="00953AFA" w:rsidRDefault="00000000">
      <w:pPr>
        <w:ind w:left="-5"/>
      </w:pPr>
      <w:r>
        <w:t xml:space="preserve">On the coast, the </w:t>
      </w:r>
      <w:r w:rsidRPr="00953AFA">
        <w:rPr>
          <w:highlight w:val="yellow"/>
          <w:u w:val="single" w:color="000000"/>
        </w:rPr>
        <w:t>Te Angiangi Marine Reserve</w:t>
      </w:r>
      <w:r>
        <w:t xml:space="preserve"> review is complete and Ngāti Kere now sits on its governance group. </w:t>
      </w:r>
    </w:p>
    <w:p w14:paraId="41998216" w14:textId="10423629" w:rsidR="00F725FF" w:rsidRDefault="00000000">
      <w:pPr>
        <w:ind w:left="-5"/>
      </w:pPr>
      <w:r w:rsidRPr="00953AFA">
        <w:rPr>
          <w:highlight w:val="yellow"/>
        </w:rPr>
        <w:t xml:space="preserve">Our </w:t>
      </w:r>
      <w:proofErr w:type="spellStart"/>
      <w:r w:rsidRPr="00953AFA">
        <w:rPr>
          <w:highlight w:val="yellow"/>
          <w:u w:val="single" w:color="000000"/>
        </w:rPr>
        <w:t>Tangata</w:t>
      </w:r>
      <w:proofErr w:type="spellEnd"/>
      <w:r w:rsidRPr="00953AFA">
        <w:rPr>
          <w:highlight w:val="yellow"/>
          <w:u w:val="single" w:color="000000"/>
        </w:rPr>
        <w:t xml:space="preserve"> Kaitiaki</w:t>
      </w:r>
      <w:r>
        <w:t xml:space="preserve"> are working to develop seafood gathering compliance tools with a (semi) permanent base at Parimahu. We are looking at developing a Section 186A proposal and/or a Mātaitai proposal to consolidate that.  We are also developing a Pou project to mark our </w:t>
      </w:r>
      <w:r>
        <w:rPr>
          <w:u w:val="single" w:color="000000"/>
        </w:rPr>
        <w:t>visibility along</w:t>
      </w:r>
      <w:r>
        <w:t xml:space="preserve"> </w:t>
      </w:r>
      <w:r>
        <w:rPr>
          <w:u w:val="single" w:color="000000"/>
        </w:rPr>
        <w:t>the coastline</w:t>
      </w:r>
      <w:r>
        <w:t xml:space="preserve">. </w:t>
      </w:r>
    </w:p>
    <w:p w14:paraId="39206AC5" w14:textId="77777777" w:rsidR="00F725FF" w:rsidRDefault="00000000">
      <w:pPr>
        <w:ind w:left="-5"/>
      </w:pPr>
      <w:r w:rsidRPr="00953AFA">
        <w:rPr>
          <w:highlight w:val="yellow"/>
        </w:rPr>
        <w:t>The Stoneridge fire</w:t>
      </w:r>
      <w:r>
        <w:t xml:space="preserve"> in October 2025 brought INGKA, Forestry 360 and FENZ to the table with us in April 2026. The outcome was less than satisfactory, we have heard nothing positive from them about sensible ways to decrease ongoing fire risk in the village. </w:t>
      </w:r>
    </w:p>
    <w:p w14:paraId="2BACED2C" w14:textId="0FC4F75E" w:rsidR="00F725FF" w:rsidRDefault="00000000">
      <w:pPr>
        <w:ind w:left="-5"/>
      </w:pPr>
      <w:r>
        <w:t>We did not do any major spend in this financial year. Nor did we have major income – most incoming cash was div</w:t>
      </w:r>
      <w:r w:rsidR="00830011">
        <w:t>i</w:t>
      </w:r>
      <w:r>
        <w:t xml:space="preserve">dends from investments. </w:t>
      </w:r>
      <w:r w:rsidRPr="00953AFA">
        <w:rPr>
          <w:highlight w:val="yellow"/>
          <w:u w:val="single"/>
        </w:rPr>
        <w:t>Our primary financial interest at the moment is at the Marae</w:t>
      </w:r>
      <w:r>
        <w:t>. We remain committed to the m</w:t>
      </w:r>
      <w:r w:rsidR="00830011">
        <w:t>a</w:t>
      </w:r>
      <w:r>
        <w:t xml:space="preserve">rae </w:t>
      </w:r>
      <w:proofErr w:type="spellStart"/>
      <w:r>
        <w:t>rebuild’s</w:t>
      </w:r>
      <w:proofErr w:type="spellEnd"/>
      <w:r>
        <w:t xml:space="preserve"> Feasibility Plan ($145k), and more recently have recently committed $150k for renewed kitchen facilities. We seek, with </w:t>
      </w:r>
      <w:proofErr w:type="spellStart"/>
      <w:r>
        <w:t>Rongomaraeroa</w:t>
      </w:r>
      <w:proofErr w:type="spellEnd"/>
      <w:r>
        <w:t xml:space="preserve">, to investigate further investment needed. </w:t>
      </w:r>
    </w:p>
    <w:p w14:paraId="24137027" w14:textId="77777777" w:rsidR="00F725FF" w:rsidRDefault="00000000">
      <w:pPr>
        <w:spacing w:after="341"/>
        <w:ind w:left="-5"/>
      </w:pPr>
      <w:r>
        <w:t xml:space="preserve">We held two Hui-a-Hapū in 2025, on 27 April and 22 June, and hapū members attended the PSGE board meeting at </w:t>
      </w:r>
      <w:proofErr w:type="spellStart"/>
      <w:r>
        <w:t>Rongomaraeroa</w:t>
      </w:r>
      <w:proofErr w:type="spellEnd"/>
      <w:r>
        <w:t xml:space="preserve"> on 29 April. Registrations on ngatikere.com grew to about 200. Our investment fund stood at $973,000 in December 2025 at the last AGM and now is over $1m.  </w:t>
      </w:r>
    </w:p>
    <w:p w14:paraId="18C2405E" w14:textId="77777777" w:rsidR="00F725FF" w:rsidRDefault="00000000">
      <w:pPr>
        <w:pStyle w:val="Heading2"/>
        <w:spacing w:after="286"/>
        <w:ind w:left="-5"/>
      </w:pPr>
      <w:r>
        <w:lastRenderedPageBreak/>
        <w:t>The 01.04.25 – 31.03.26 year in detail</w:t>
      </w:r>
      <w:r>
        <w:rPr>
          <w:u w:val="none"/>
        </w:rPr>
        <w:t xml:space="preserve"> </w:t>
      </w:r>
    </w:p>
    <w:p w14:paraId="6F2C1277" w14:textId="77777777" w:rsidR="00F725FF" w:rsidRDefault="00000000">
      <w:pPr>
        <w:pStyle w:val="Heading3"/>
        <w:ind w:left="-5"/>
      </w:pPr>
      <w:r>
        <w:t xml:space="preserve">Governance and administration </w:t>
      </w:r>
    </w:p>
    <w:p w14:paraId="3671C6ED" w14:textId="6E80666D" w:rsidR="000861A8" w:rsidRDefault="00000000" w:rsidP="00953AFA">
      <w:pPr>
        <w:ind w:left="-5"/>
      </w:pPr>
      <w:r>
        <w:t xml:space="preserve">The board met ten times in the period, including one special meeting. In October we proposed holding every third or fourth meeting at the marae so that hapū members can attend. We are pursuing that option.  </w:t>
      </w:r>
    </w:p>
    <w:p w14:paraId="45580A99" w14:textId="0BC59856" w:rsidR="00F725FF" w:rsidRDefault="00000000">
      <w:pPr>
        <w:ind w:left="-5"/>
      </w:pPr>
      <w:r>
        <w:t xml:space="preserve">We tried to grow the board. We sought three new people over this time. They were unable to commit to the board and although we asked two to be ‘advisors’ we have not pursued that. In March 2026 we agreed to invite </w:t>
      </w:r>
      <w:r w:rsidRPr="00953AFA">
        <w:rPr>
          <w:highlight w:val="yellow"/>
        </w:rPr>
        <w:t xml:space="preserve">Helena </w:t>
      </w:r>
      <w:proofErr w:type="spellStart"/>
      <w:r w:rsidRPr="00953AFA">
        <w:rPr>
          <w:highlight w:val="yellow"/>
        </w:rPr>
        <w:t>Winiata</w:t>
      </w:r>
      <w:proofErr w:type="spellEnd"/>
      <w:r w:rsidRPr="00953AFA">
        <w:rPr>
          <w:highlight w:val="yellow"/>
        </w:rPr>
        <w:t>,</w:t>
      </w:r>
      <w:r>
        <w:t xml:space="preserve"> our </w:t>
      </w:r>
      <w:proofErr w:type="spellStart"/>
      <w:r>
        <w:t>Tamateapōkaiwhenua</w:t>
      </w:r>
      <w:proofErr w:type="spellEnd"/>
      <w:r>
        <w:t xml:space="preserve"> representative, to report to NKHA.  We later co-opted her onto the board. </w:t>
      </w:r>
    </w:p>
    <w:p w14:paraId="5D9B63A6" w14:textId="77777777" w:rsidR="00F725FF" w:rsidRDefault="00000000">
      <w:pPr>
        <w:ind w:left="-5"/>
      </w:pPr>
      <w:r>
        <w:t xml:space="preserve">Our administration changed. </w:t>
      </w:r>
      <w:r w:rsidRPr="00953AFA">
        <w:rPr>
          <w:highlight w:val="yellow"/>
        </w:rPr>
        <w:t>Tania Nicholas</w:t>
      </w:r>
      <w:r>
        <w:t xml:space="preserve"> served as board secretary until early 2026 and we thank her immensely for her excellent work. In January we agreed to seek a contract for service from </w:t>
      </w:r>
      <w:r w:rsidRPr="00953AFA">
        <w:rPr>
          <w:highlight w:val="yellow"/>
        </w:rPr>
        <w:t>Margaret Walsh of MJM Management Group</w:t>
      </w:r>
      <w:r>
        <w:t xml:space="preserve"> (our accountants) to do the board secretary </w:t>
      </w:r>
      <w:r w:rsidRPr="00953AFA">
        <w:t xml:space="preserve">role. </w:t>
      </w:r>
      <w:proofErr w:type="spellStart"/>
      <w:r w:rsidRPr="00953AFA">
        <w:t>Kerianne</w:t>
      </w:r>
      <w:proofErr w:type="spellEnd"/>
      <w:r>
        <w:t xml:space="preserve"> also asked for help MJM help with the Treasurer role and Marg’s assistance in these things has been great. We have a few administration tasks outstanding: new trustee information pack, an annual plan, a donations policy, a project funding policy and a Pōrangahau PO Box. </w:t>
      </w:r>
    </w:p>
    <w:p w14:paraId="2D4ACFDE" w14:textId="77777777" w:rsidR="00F725FF" w:rsidRDefault="00000000">
      <w:pPr>
        <w:pStyle w:val="Heading3"/>
        <w:ind w:left="-5"/>
      </w:pPr>
      <w:r>
        <w:t xml:space="preserve">Hui-a-Hapū and other extraordinary meetings </w:t>
      </w:r>
    </w:p>
    <w:p w14:paraId="2A153517" w14:textId="77777777" w:rsidR="00F725FF" w:rsidRPr="00953AFA" w:rsidRDefault="00000000">
      <w:pPr>
        <w:spacing w:after="250"/>
        <w:ind w:left="-5"/>
      </w:pPr>
      <w:r w:rsidRPr="00953AFA">
        <w:t xml:space="preserve">We called two Hui-a-Hapū at </w:t>
      </w:r>
      <w:proofErr w:type="spellStart"/>
      <w:r w:rsidRPr="00953AFA">
        <w:t>Rongomaraeroa</w:t>
      </w:r>
      <w:proofErr w:type="spellEnd"/>
      <w:r w:rsidRPr="00953AFA">
        <w:t xml:space="preserve"> in 2025. Both drew good numbers and both gave clear direction to the board around the possible MACA appeal, the Te Angiangi governance appointments, and pursuance of the Parimahu deal.  At the June hui there was general agreement that we should hold these hui more often. There was also interest in having NKHA, the </w:t>
      </w:r>
      <w:proofErr w:type="spellStart"/>
      <w:r w:rsidRPr="00953AFA">
        <w:t>Rongomaraeroa</w:t>
      </w:r>
      <w:proofErr w:type="spellEnd"/>
      <w:r w:rsidRPr="00953AFA">
        <w:t xml:space="preserve"> Trustees and the Pōrangahau Māori Committee met together around community issues with the </w:t>
      </w:r>
      <w:proofErr w:type="spellStart"/>
      <w:r w:rsidRPr="00953AFA">
        <w:t>Kāhui</w:t>
      </w:r>
      <w:proofErr w:type="spellEnd"/>
      <w:r w:rsidRPr="00953AFA">
        <w:t xml:space="preserve"> Kaumātua and the community. We have had 2 meetings of that group – both around the HBRC flood response.  </w:t>
      </w:r>
    </w:p>
    <w:p w14:paraId="0AA28B1A" w14:textId="77777777" w:rsidR="00F725FF" w:rsidRDefault="00000000">
      <w:pPr>
        <w:pStyle w:val="Heading4"/>
        <w:ind w:left="-5"/>
      </w:pPr>
      <w:r w:rsidRPr="00953AFA">
        <w:t>Hui-a-Hapū, Sunday 27 April 2025</w:t>
      </w:r>
      <w:r>
        <w:t xml:space="preserve"> </w:t>
      </w:r>
    </w:p>
    <w:p w14:paraId="18BF0C76" w14:textId="77777777" w:rsidR="00F725FF" w:rsidRDefault="00000000">
      <w:pPr>
        <w:ind w:left="-5"/>
      </w:pPr>
      <w:r>
        <w:t xml:space="preserve">Nineteen members attended. The main purpose was to prepare for the PSGE board meeting two days later. We also reported on the website and registration, the MACA outcome, the Te Angiangi Marine Reserve review and Parimahu access. The hui supported accepting the MACA decision without appeal and preparing for the wāhi tapu stage. It appointed Keri </w:t>
      </w:r>
      <w:proofErr w:type="spellStart"/>
      <w:r>
        <w:t>Ropiha</w:t>
      </w:r>
      <w:proofErr w:type="spellEnd"/>
      <w:r>
        <w:t xml:space="preserve"> and Selina Wakefield to the marine reserve governance group, with Anna Douglas as board apprentice. There was wide support for exploring the Parimahu land swap.  </w:t>
      </w:r>
    </w:p>
    <w:p w14:paraId="744DBE31" w14:textId="77777777" w:rsidR="00F725FF" w:rsidRDefault="00000000">
      <w:pPr>
        <w:spacing w:after="251"/>
        <w:ind w:left="-5"/>
      </w:pPr>
      <w:r>
        <w:t xml:space="preserve">The push to register online met some resistance. People value their personal data and want a good reason to hand it over, even to their own hapū. We need to make membership more compelling. </w:t>
      </w:r>
    </w:p>
    <w:p w14:paraId="658647E6" w14:textId="77777777" w:rsidR="00F725FF" w:rsidRDefault="00000000">
      <w:pPr>
        <w:pStyle w:val="Heading4"/>
        <w:ind w:left="-5"/>
      </w:pPr>
      <w:proofErr w:type="spellStart"/>
      <w:r>
        <w:t>Tamateapōkaiwhenua</w:t>
      </w:r>
      <w:proofErr w:type="spellEnd"/>
      <w:r>
        <w:t xml:space="preserve"> PSGE board meeting, Tuesday 29 April 2025 </w:t>
      </w:r>
    </w:p>
    <w:p w14:paraId="6B81242F" w14:textId="77777777" w:rsidR="00F725FF" w:rsidRDefault="00000000">
      <w:pPr>
        <w:spacing w:after="250"/>
        <w:ind w:left="-5"/>
      </w:pPr>
      <w:r>
        <w:t xml:space="preserve">This was a regular PSGE board meeting held at </w:t>
      </w:r>
      <w:proofErr w:type="spellStart"/>
      <w:r>
        <w:t>Rongomaraeroa</w:t>
      </w:r>
      <w:proofErr w:type="spellEnd"/>
      <w:r>
        <w:t xml:space="preserve"> because the return of the Blackhead Village site was on its agenda. Ngāti Kere attended in good numbers. The board voted to return the site under its usual valuation and disbursement rules and will pursue a valuation. The Hawke's Bay Regional Council (HBRC) also reported on flood mitigation. It had not (at that time) costed some options for the marae and kaumātua flats. </w:t>
      </w:r>
    </w:p>
    <w:p w14:paraId="545612EA" w14:textId="77777777" w:rsidR="00F725FF" w:rsidRDefault="00000000">
      <w:pPr>
        <w:pStyle w:val="Heading4"/>
        <w:ind w:left="-5"/>
      </w:pPr>
      <w:r>
        <w:lastRenderedPageBreak/>
        <w:t xml:space="preserve">Hui-a-Hapū, Sunday 22 June 2025 </w:t>
      </w:r>
    </w:p>
    <w:p w14:paraId="1F129C8B" w14:textId="2700FAD7" w:rsidR="000861A8" w:rsidRDefault="00000000" w:rsidP="00953AFA">
      <w:pPr>
        <w:spacing w:after="250"/>
        <w:ind w:left="-5"/>
      </w:pPr>
      <w:r>
        <w:t xml:space="preserve">Twenty-six members attended. Carole Tipene opened with the Regulatory Standards Bill. She had helped whānau lodge more than 110 submissions from our rohe. Leo Watson joined online to report on the Coastal Marine Title and Protected Customary Rights outcomes and to introduce the wāhi tapu claims. The hui distinguished two tasks. One is the "once over lightly" MACA claim, which we pursue to keep </w:t>
      </w:r>
    </w:p>
    <w:p w14:paraId="05206DCF" w14:textId="7A8D701A" w:rsidR="00F725FF" w:rsidRDefault="00000000">
      <w:pPr>
        <w:spacing w:after="250"/>
        <w:ind w:left="-5"/>
      </w:pPr>
      <w:r>
        <w:t xml:space="preserve">Ngāti Kere visible. The other is our own deeper study and mapping of wāhi tapu, grounded in our mātauranga and independent of any Crown process. The hui agreed to pursue the second with </w:t>
      </w:r>
      <w:proofErr w:type="spellStart"/>
      <w:r>
        <w:t>vigor</w:t>
      </w:r>
      <w:proofErr w:type="spellEnd"/>
      <w:r>
        <w:t xml:space="preserve">. On Parimahu, members asked us to find proper maps, to visit the site, to check whether the sections are surveyed and have value, and to look for a better track (all those things have subsequently been done and reported on). HBRC presented five flood mitigation options for the marae and kaumātua flats.  </w:t>
      </w:r>
    </w:p>
    <w:p w14:paraId="482146A9" w14:textId="77777777" w:rsidR="00F725FF" w:rsidRDefault="00000000">
      <w:pPr>
        <w:pStyle w:val="Heading4"/>
        <w:ind w:left="-5"/>
      </w:pPr>
      <w:r>
        <w:t xml:space="preserve">Special board meeting, MACA funding and EIT, 25 July 2025 </w:t>
      </w:r>
    </w:p>
    <w:p w14:paraId="3FA09E88" w14:textId="77777777" w:rsidR="00F725FF" w:rsidRDefault="00000000">
      <w:pPr>
        <w:ind w:left="-5"/>
      </w:pPr>
      <w:r>
        <w:t xml:space="preserve">The board met specially to pass the resolutions our lawyer prepared for </w:t>
      </w:r>
      <w:proofErr w:type="spellStart"/>
      <w:r>
        <w:t>Takutai</w:t>
      </w:r>
      <w:proofErr w:type="spellEnd"/>
      <w:r>
        <w:t xml:space="preserve"> Moana funding and to sign the statement of work with EIT for the MACA working party. This allows us to charge (via EIT) for David Tipene-Leach’s MACA claim research work and to lodge that money with EIT in a Ngāti Kere research fund. </w:t>
      </w:r>
      <w:proofErr w:type="spellStart"/>
      <w:r>
        <w:t>eg</w:t>
      </w:r>
      <w:proofErr w:type="spellEnd"/>
      <w:r>
        <w:t xml:space="preserve"> David EIT research has developed the Ngāti Kere Heritage Recollect website and the </w:t>
      </w:r>
      <w:proofErr w:type="spellStart"/>
      <w:r>
        <w:t>Tauihu</w:t>
      </w:r>
      <w:proofErr w:type="spellEnd"/>
      <w:r>
        <w:t xml:space="preserve"> restoration project. </w:t>
      </w:r>
    </w:p>
    <w:p w14:paraId="0FEE98C8" w14:textId="77777777" w:rsidR="00F725FF" w:rsidRDefault="00000000">
      <w:pPr>
        <w:pStyle w:val="Heading4"/>
        <w:ind w:left="-5"/>
      </w:pPr>
      <w:r>
        <w:t xml:space="preserve">Stoneridge Gateway meeting with INGKA, 28 April 2026 </w:t>
      </w:r>
    </w:p>
    <w:p w14:paraId="4F67EE2C" w14:textId="77777777" w:rsidR="00F725FF" w:rsidRDefault="00000000">
      <w:pPr>
        <w:spacing w:after="347"/>
        <w:ind w:left="-5"/>
      </w:pPr>
      <w:r>
        <w:t xml:space="preserve">Hapū members met at the marae first, then met INGKA, Forestry 360, FENZ and PCG at Stoneridge. This meeting is reported in the section on Stoneridge below. </w:t>
      </w:r>
    </w:p>
    <w:p w14:paraId="6128ECB1" w14:textId="77777777" w:rsidR="00F725FF" w:rsidRDefault="00000000">
      <w:pPr>
        <w:pStyle w:val="Heading3"/>
        <w:spacing w:after="180"/>
        <w:ind w:left="-5"/>
      </w:pPr>
      <w:r>
        <w:t xml:space="preserve">Projects </w:t>
      </w:r>
    </w:p>
    <w:p w14:paraId="7A0D32EA" w14:textId="77777777" w:rsidR="00F725FF" w:rsidRDefault="00000000">
      <w:pPr>
        <w:pStyle w:val="Heading4"/>
        <w:ind w:left="-5"/>
      </w:pPr>
      <w:r>
        <w:t xml:space="preserve">Parimahu access and the Blackhead Village site </w:t>
      </w:r>
    </w:p>
    <w:p w14:paraId="67673B6F" w14:textId="77777777" w:rsidR="00F725FF" w:rsidRDefault="00000000">
      <w:pPr>
        <w:spacing w:after="8"/>
        <w:ind w:left="-5"/>
      </w:pPr>
      <w:r>
        <w:t xml:space="preserve">The aim of this project is Ngāti Kere access to, and control of, the Parimahu fishery. The return of the </w:t>
      </w:r>
    </w:p>
    <w:p w14:paraId="7E5FF7E6" w14:textId="77777777" w:rsidR="00F725FF" w:rsidRDefault="00000000">
      <w:pPr>
        <w:ind w:left="-5"/>
      </w:pPr>
      <w:r>
        <w:t xml:space="preserve">Blackhead Village site has been part of the He Toa Takitini claim since at least 2008. Helena </w:t>
      </w:r>
      <w:proofErr w:type="spellStart"/>
      <w:r>
        <w:t>Winiata</w:t>
      </w:r>
      <w:proofErr w:type="spellEnd"/>
      <w:r>
        <w:t xml:space="preserve"> and I put the case for its return to the PSGE board in January 2025 on three grounds. These were whakapapa and mana whenua, the length of the claim, and the absence of prejudice to other claimants. The board voted for its return on 29 April 2025. The transfer is still in the PSGE process. </w:t>
      </w:r>
    </w:p>
    <w:p w14:paraId="42B625F2" w14:textId="77777777" w:rsidR="00F725FF" w:rsidRDefault="00000000">
      <w:pPr>
        <w:ind w:left="-5"/>
      </w:pPr>
      <w:r>
        <w:t xml:space="preserve">The site is about 11 hectares of wetland between two hills. It is landlocked except by paper roads and the beach. An endangered bittern lives there, and the Gordons and Hunters support the swamp area becoming a reserve. </w:t>
      </w:r>
    </w:p>
    <w:p w14:paraId="60DA8443" w14:textId="77777777" w:rsidR="00F725FF" w:rsidRDefault="00000000">
      <w:pPr>
        <w:ind w:left="-5"/>
      </w:pPr>
      <w:r>
        <w:t xml:space="preserve">The Gordons want to close the paper road - the obstacle is LINZ which will not close a paper road unless every owner has reasonable access, and it does not accept the beach as reasonable access. To resolve this the Gordons proposed a land swap. We would give up the Blackhead Village site and receive about 11 hectares beside the existing access track. All partners have agreed to transfer the access track to Ngāti Kere. The Gordons also offered a public reserve at the spring near the Point and in January 2026 Mike Gordon agreed to a shed or hut for our </w:t>
      </w:r>
      <w:proofErr w:type="spellStart"/>
      <w:r>
        <w:t>Tangata</w:t>
      </w:r>
      <w:proofErr w:type="spellEnd"/>
      <w:r>
        <w:t xml:space="preserve"> Kaitiaki. </w:t>
      </w:r>
    </w:p>
    <w:p w14:paraId="7A128805" w14:textId="42BC3841" w:rsidR="000861A8" w:rsidRDefault="00000000" w:rsidP="00953AFA">
      <w:pPr>
        <w:ind w:left="-5"/>
      </w:pPr>
      <w:r>
        <w:t xml:space="preserve">Hapū views are mixed. At the June 2025 Hui-a-Hapū I argued that the real prize is permanent access to Parimahu. Members asked us to go slowly and to check the value of the sections. The October 2025 </w:t>
      </w:r>
      <w:r>
        <w:lastRenderedPageBreak/>
        <w:t xml:space="preserve">minutes note a CHBDC letter stating that the sections are not viable to build on. At the December AGM an alternative track through the </w:t>
      </w:r>
      <w:proofErr w:type="spellStart"/>
      <w:r>
        <w:t>Pākowhai</w:t>
      </w:r>
      <w:proofErr w:type="spellEnd"/>
      <w:r>
        <w:t xml:space="preserve"> block was proposed. Later in 2026, this was found not to be viable. And the proposed ‘other paper road track’ (along </w:t>
      </w:r>
      <w:proofErr w:type="spellStart"/>
      <w:r>
        <w:t>Parimahu’s</w:t>
      </w:r>
      <w:proofErr w:type="spellEnd"/>
      <w:r>
        <w:t xml:space="preserve"> northern border) was found to have been closed years ago.   </w:t>
      </w:r>
    </w:p>
    <w:p w14:paraId="355036B8" w14:textId="280C4728" w:rsidR="00F725FF" w:rsidRDefault="00000000">
      <w:pPr>
        <w:spacing w:after="245"/>
        <w:ind w:left="-5"/>
      </w:pPr>
      <w:r>
        <w:t xml:space="preserve">A subsequent site visit with whānau to see both the Blackhead site and the proposed swap site which also includes swamp land was done later in the year, and just to bring us all up to date, the Gordons have offered recently the sale of the portion of portion of Parimahu station south of the access track. We await a valuation, a price offer, a hapū consultation and a possible negotiation over this. </w:t>
      </w:r>
    </w:p>
    <w:p w14:paraId="614FF0FB" w14:textId="77777777" w:rsidR="00F725FF" w:rsidRDefault="00000000">
      <w:pPr>
        <w:pStyle w:val="Heading4"/>
        <w:ind w:left="-5"/>
      </w:pPr>
      <w:proofErr w:type="spellStart"/>
      <w:r>
        <w:t>Takutai</w:t>
      </w:r>
      <w:proofErr w:type="spellEnd"/>
      <w:r>
        <w:t xml:space="preserve"> Moana (MACA) claim </w:t>
      </w:r>
    </w:p>
    <w:p w14:paraId="52DCB99B" w14:textId="77777777" w:rsidR="00F725FF" w:rsidRDefault="00000000">
      <w:pPr>
        <w:ind w:left="-5"/>
      </w:pPr>
      <w:r>
        <w:t>We filed our claim under the Marine and Coastal Area (</w:t>
      </w:r>
      <w:proofErr w:type="spellStart"/>
      <w:r>
        <w:t>Takutai</w:t>
      </w:r>
      <w:proofErr w:type="spellEnd"/>
      <w:r>
        <w:t xml:space="preserve"> Moana) Act 2011 in 2017. Its purpose was to make Ngāti Kere visible on our coastline. </w:t>
      </w:r>
      <w:proofErr w:type="spellStart"/>
      <w:r>
        <w:t>Morehu</w:t>
      </w:r>
      <w:proofErr w:type="spellEnd"/>
      <w:r>
        <w:t xml:space="preserve"> and I gave affidavits and appeared in the High Court, and we held many negotiation meetings with Te </w:t>
      </w:r>
      <w:proofErr w:type="spellStart"/>
      <w:r>
        <w:t>Hika</w:t>
      </w:r>
      <w:proofErr w:type="spellEnd"/>
      <w:r>
        <w:t xml:space="preserve"> a </w:t>
      </w:r>
      <w:proofErr w:type="spellStart"/>
      <w:r>
        <w:t>Pāpāuma</w:t>
      </w:r>
      <w:proofErr w:type="spellEnd"/>
      <w:r>
        <w:t xml:space="preserve"> and </w:t>
      </w:r>
      <w:proofErr w:type="spellStart"/>
      <w:r>
        <w:t>Rangītāne</w:t>
      </w:r>
      <w:proofErr w:type="spellEnd"/>
      <w:r>
        <w:t xml:space="preserve">. The High Court granted us three sets of rights. Customary Marine Title from </w:t>
      </w:r>
      <w:proofErr w:type="spellStart"/>
      <w:r>
        <w:t>Ōuepoto</w:t>
      </w:r>
      <w:proofErr w:type="spellEnd"/>
      <w:r>
        <w:t xml:space="preserve"> to Wainui came on 10 December 2024. Protected Customary Rights for whitebait and </w:t>
      </w:r>
      <w:proofErr w:type="spellStart"/>
      <w:r>
        <w:t>pīngao</w:t>
      </w:r>
      <w:proofErr w:type="spellEnd"/>
      <w:r>
        <w:t xml:space="preserve"> came on 16 June 2025. Wāhi tapu recognition came on 3 October 2025 for eight sites. These are Parimahu, </w:t>
      </w:r>
      <w:proofErr w:type="spellStart"/>
      <w:r>
        <w:t>Taikura</w:t>
      </w:r>
      <w:proofErr w:type="spellEnd"/>
      <w:r>
        <w:t xml:space="preserve">, </w:t>
      </w:r>
      <w:proofErr w:type="spellStart"/>
      <w:r>
        <w:t>Ōhinemuhu</w:t>
      </w:r>
      <w:proofErr w:type="spellEnd"/>
      <w:r>
        <w:t xml:space="preserve">, </w:t>
      </w:r>
      <w:proofErr w:type="spellStart"/>
      <w:r>
        <w:t>Takapau</w:t>
      </w:r>
      <w:proofErr w:type="spellEnd"/>
      <w:r>
        <w:t xml:space="preserve">, </w:t>
      </w:r>
      <w:proofErr w:type="spellStart"/>
      <w:r>
        <w:t>Ōmaruraho</w:t>
      </w:r>
      <w:proofErr w:type="spellEnd"/>
      <w:r>
        <w:t xml:space="preserve">, Ngā </w:t>
      </w:r>
      <w:proofErr w:type="spellStart"/>
      <w:r>
        <w:t>Mahunga</w:t>
      </w:r>
      <w:proofErr w:type="spellEnd"/>
      <w:r>
        <w:t xml:space="preserve">, </w:t>
      </w:r>
      <w:proofErr w:type="spellStart"/>
      <w:r>
        <w:t>Kahutara</w:t>
      </w:r>
      <w:proofErr w:type="spellEnd"/>
      <w:r>
        <w:t xml:space="preserve"> and </w:t>
      </w:r>
      <w:proofErr w:type="spellStart"/>
      <w:r>
        <w:t>Waipapa</w:t>
      </w:r>
      <w:proofErr w:type="spellEnd"/>
      <w:r>
        <w:t xml:space="preserve">. </w:t>
      </w:r>
    </w:p>
    <w:p w14:paraId="78C942C7" w14:textId="77777777" w:rsidR="00F725FF" w:rsidRDefault="00000000">
      <w:pPr>
        <w:ind w:left="-5"/>
      </w:pPr>
      <w:r>
        <w:t xml:space="preserve">The decision had limits. Our extension to </w:t>
      </w:r>
      <w:proofErr w:type="spellStart"/>
      <w:r>
        <w:t>Akitio</w:t>
      </w:r>
      <w:proofErr w:type="spellEnd"/>
      <w:r>
        <w:t xml:space="preserve"> was not granted and </w:t>
      </w:r>
      <w:proofErr w:type="spellStart"/>
      <w:r>
        <w:t>Rangītāne</w:t>
      </w:r>
      <w:proofErr w:type="spellEnd"/>
      <w:r>
        <w:t xml:space="preserve"> received recognition rights in our area including at </w:t>
      </w:r>
      <w:proofErr w:type="spellStart"/>
      <w:r>
        <w:t>Taikura</w:t>
      </w:r>
      <w:proofErr w:type="spellEnd"/>
      <w:r>
        <w:t xml:space="preserve">, against our evidence. Te </w:t>
      </w:r>
      <w:proofErr w:type="spellStart"/>
      <w:r>
        <w:t>Hika</w:t>
      </w:r>
      <w:proofErr w:type="spellEnd"/>
      <w:r>
        <w:t xml:space="preserve"> a </w:t>
      </w:r>
      <w:proofErr w:type="spellStart"/>
      <w:r>
        <w:t>Pāpāuma's</w:t>
      </w:r>
      <w:proofErr w:type="spellEnd"/>
      <w:r>
        <w:t xml:space="preserve"> claim north of </w:t>
      </w:r>
      <w:proofErr w:type="spellStart"/>
      <w:r>
        <w:t>Poroporo</w:t>
      </w:r>
      <w:proofErr w:type="spellEnd"/>
      <w:r>
        <w:t xml:space="preserve"> however was declined. The April 2025 Hui-a-Hapū supported accepting the decision without appeal. </w:t>
      </w:r>
    </w:p>
    <w:p w14:paraId="5C13B378" w14:textId="77777777" w:rsidR="00F725FF" w:rsidRDefault="00000000">
      <w:pPr>
        <w:ind w:left="-5"/>
      </w:pPr>
      <w:r>
        <w:t xml:space="preserve">The wāhi tapu stage drew on the list of sites from our taiāpure work, Jim's map and Anthony's work for Heritage New Zealand. Aaron produced Google Maps location mapping for the court. We are seeking funding for GPS tracking to take this further. As the June hui agreed, this mapping is primarily for us, whatever the Crown process delivers but that has not progressed. </w:t>
      </w:r>
    </w:p>
    <w:p w14:paraId="7AD8E113" w14:textId="77777777" w:rsidR="00F725FF" w:rsidRDefault="00000000">
      <w:pPr>
        <w:spacing w:after="10"/>
        <w:ind w:left="-5"/>
      </w:pPr>
      <w:r>
        <w:t>The setback came in October 2025. The Marine and Coastal Area (</w:t>
      </w:r>
      <w:proofErr w:type="spellStart"/>
      <w:r>
        <w:t>Takutai</w:t>
      </w:r>
      <w:proofErr w:type="spellEnd"/>
      <w:r>
        <w:t xml:space="preserve"> Moana) (Customary Marine </w:t>
      </w:r>
    </w:p>
    <w:p w14:paraId="6D3F97FA" w14:textId="77777777" w:rsidR="00F725FF" w:rsidRDefault="00000000">
      <w:pPr>
        <w:ind w:left="-5"/>
      </w:pPr>
      <w:r>
        <w:t xml:space="preserve">Title) Amendment Act 2025 passed its third reading on 21 October and received royal assent on 24 October. It reverses the 2023 Court of Appeal ruling that lowered the test for exclusive use and occupation since 1840. On our lawyer's advice, titles granted between July 2024 and the passing of the Act are reversed and live claims must restart under the new test. That includes our title but not the wāhi tapu sites. The question now is whether a future government reverses these changes. We expect to have to ‘do it all again’ – although it will be simpler second time round. </w:t>
      </w:r>
    </w:p>
    <w:p w14:paraId="3BB6383F" w14:textId="77777777" w:rsidR="00F725FF" w:rsidRDefault="00000000">
      <w:pPr>
        <w:spacing w:after="250"/>
        <w:ind w:left="-5"/>
      </w:pPr>
      <w:r>
        <w:t xml:space="preserve">Our legal costs up to 2025 have included $24,592 in upfront costs to our lawyer Leo Watson - this should reimbursed by Te </w:t>
      </w:r>
      <w:proofErr w:type="spellStart"/>
      <w:r>
        <w:t>Arawhiti</w:t>
      </w:r>
      <w:proofErr w:type="spellEnd"/>
      <w:r>
        <w:t xml:space="preserve">. The board passed resolutions on 25 July 2025 for Te </w:t>
      </w:r>
      <w:proofErr w:type="spellStart"/>
      <w:r>
        <w:t>Arawhiti</w:t>
      </w:r>
      <w:proofErr w:type="spellEnd"/>
      <w:r>
        <w:t xml:space="preserve"> funding and signed a statement of work with EIT for the MACA working party research component done by myself. This funding claim of $130,434 was lodged by March 2026. I have declared a conflict of interest because these funds will pass through EIT under a named Ngāti Kere research fund administered by me. The April 2025-26 costs are estimated at around about $140,000.  </w:t>
      </w:r>
    </w:p>
    <w:p w14:paraId="5898AE6A" w14:textId="77777777" w:rsidR="00F725FF" w:rsidRDefault="00000000">
      <w:pPr>
        <w:pStyle w:val="Heading4"/>
        <w:ind w:left="-5"/>
      </w:pPr>
      <w:r>
        <w:t xml:space="preserve">Te Angiangi Marine Reserve and coastal kaitiakitanga </w:t>
      </w:r>
    </w:p>
    <w:p w14:paraId="479A4077" w14:textId="3ED2DB26" w:rsidR="000861A8" w:rsidRDefault="00000000" w:rsidP="00953AFA">
      <w:pPr>
        <w:ind w:left="-5"/>
      </w:pPr>
      <w:r>
        <w:t xml:space="preserve">The Te Angiangi Marine Reserve review was completed in early 2025. It found that too little was known to judge the reserve's effect on fish stocks and that there was no data separating reserve effects from </w:t>
      </w:r>
      <w:r>
        <w:lastRenderedPageBreak/>
        <w:t xml:space="preserve">climate change. It also concluded that the Department of Conservation (DOC) had not worked well with Ngāti Kere or the wider community. Its seven recommendations begin with promoting Ngāti Kere mana on the coast and forming a strategic oversight group with us. Others include embedding mātauranga </w:t>
      </w:r>
    </w:p>
    <w:p w14:paraId="7467F710" w14:textId="2FAE2A51" w:rsidR="00F725FF" w:rsidRDefault="00000000">
      <w:pPr>
        <w:ind w:left="-5"/>
      </w:pPr>
      <w:r>
        <w:t xml:space="preserve">Māori in the new management plan, a community management committee, monitoring every two to five years, and ten-yearly reviews. </w:t>
      </w:r>
    </w:p>
    <w:p w14:paraId="537E29DB" w14:textId="77777777" w:rsidR="00F725FF" w:rsidRDefault="00000000">
      <w:pPr>
        <w:ind w:left="-5"/>
      </w:pPr>
      <w:r>
        <w:t xml:space="preserve">The governance group has five members. There are two from DOC, two from mana whenua and one from the wider community. Keri </w:t>
      </w:r>
      <w:proofErr w:type="spellStart"/>
      <w:r>
        <w:t>Ropiha</w:t>
      </w:r>
      <w:proofErr w:type="spellEnd"/>
      <w:r>
        <w:t xml:space="preserve"> and Selina Wakefield are our appointees, and Anna Douglas is board apprentice. We hope the group will begin monitoring fish stocks at Parimahu as well as in the reserve. </w:t>
      </w:r>
    </w:p>
    <w:p w14:paraId="2A1898F1" w14:textId="77777777" w:rsidR="00F725FF" w:rsidRDefault="00000000">
      <w:pPr>
        <w:ind w:left="-5"/>
      </w:pPr>
      <w:r>
        <w:t xml:space="preserve">Our </w:t>
      </w:r>
      <w:proofErr w:type="spellStart"/>
      <w:r>
        <w:t>Tangata</w:t>
      </w:r>
      <w:proofErr w:type="spellEnd"/>
      <w:r>
        <w:t xml:space="preserve"> Kaitiaki carry the wider coastal work, led by Jim Hutcheson. Matt and Russell have been potting for crayfish research inside and outside the reserve. Pāua is still being taken illegally from the reserve. The rāhui we imposed two years ago was not in force in early 2025 and needs more work – perhaps a Section 186a – perhaps a proper survey to assess pāua stocks. Jim and Sandra Major visited another hapū to learn about mātaitai, and the kaitiaki are developing a mātaitai and a Section 186A closure. DOC funded a CERT workshop in March 2025.  </w:t>
      </w:r>
    </w:p>
    <w:p w14:paraId="0CB01BFD" w14:textId="77777777" w:rsidR="00F725FF" w:rsidRDefault="00000000">
      <w:pPr>
        <w:ind w:left="-5"/>
      </w:pPr>
      <w:r>
        <w:t xml:space="preserve">A camera at Blackhead Point to watch the Parimahu fishery would cost about $19,000. NKHA would have to pay for it. Jim took the project over for the </w:t>
      </w:r>
      <w:proofErr w:type="spellStart"/>
      <w:r>
        <w:t>Tangata</w:t>
      </w:r>
      <w:proofErr w:type="spellEnd"/>
      <w:r>
        <w:t xml:space="preserve"> Kaitiaki in July 2025 and is applying to HTST for funding. Camera specifications went to Russell (at DOC) in early 2026. We are looking for a cheaper option. </w:t>
      </w:r>
    </w:p>
    <w:p w14:paraId="5B2E627E" w14:textId="77777777" w:rsidR="00F725FF" w:rsidRDefault="00000000">
      <w:pPr>
        <w:ind w:left="-5"/>
      </w:pPr>
      <w:r>
        <w:t xml:space="preserve">The Pou project aims to mark Ngāti Kere at significant beach sites. These are Te Angiangi, Parimahu, Te Paerahi, Whangaehu, Wainui and </w:t>
      </w:r>
      <w:proofErr w:type="spellStart"/>
      <w:r>
        <w:t>Pākūkū</w:t>
      </w:r>
      <w:proofErr w:type="spellEnd"/>
      <w:r>
        <w:t xml:space="preserve">. </w:t>
      </w:r>
      <w:proofErr w:type="spellStart"/>
      <w:r>
        <w:t>Tangata</w:t>
      </w:r>
      <w:proofErr w:type="spellEnd"/>
      <w:r>
        <w:t xml:space="preserve"> Kaitiaki have sourced poles. Peter Kay of </w:t>
      </w:r>
      <w:proofErr w:type="spellStart"/>
      <w:r>
        <w:t>Aramoana</w:t>
      </w:r>
      <w:proofErr w:type="spellEnd"/>
      <w:r>
        <w:t xml:space="preserve"> is seeking funds for the consent plan. In early 2026 </w:t>
      </w:r>
      <w:proofErr w:type="spellStart"/>
      <w:r>
        <w:t>Aramoana</w:t>
      </w:r>
      <w:proofErr w:type="spellEnd"/>
      <w:r>
        <w:t xml:space="preserve"> proposed a planning process for Pou and </w:t>
      </w:r>
      <w:proofErr w:type="spellStart"/>
      <w:r>
        <w:t>waha</w:t>
      </w:r>
      <w:proofErr w:type="spellEnd"/>
      <w:r>
        <w:t xml:space="preserve"> kōrero, and a carver offered a two-week chainsaw carving workshop. In March the board approved in principle funding the carvers' wages through EIT. </w:t>
      </w:r>
    </w:p>
    <w:p w14:paraId="1D8574B6" w14:textId="77777777" w:rsidR="00F725FF" w:rsidRDefault="00000000">
      <w:pPr>
        <w:spacing w:after="251"/>
        <w:ind w:left="-5"/>
      </w:pPr>
      <w:r>
        <w:t xml:space="preserve">In January 2026 we moved $34,500 held for the </w:t>
      </w:r>
      <w:proofErr w:type="spellStart"/>
      <w:r>
        <w:t>Tangata</w:t>
      </w:r>
      <w:proofErr w:type="spellEnd"/>
      <w:r>
        <w:t xml:space="preserve"> Kaitiaki into a separate account. We will release it once their own financial arrangements are sound. </w:t>
      </w:r>
    </w:p>
    <w:p w14:paraId="23DB240A" w14:textId="77777777" w:rsidR="00F725FF" w:rsidRDefault="00000000">
      <w:pPr>
        <w:pStyle w:val="Heading4"/>
        <w:ind w:left="-5"/>
      </w:pPr>
      <w:r>
        <w:t xml:space="preserve">Flood recovery and the </w:t>
      </w:r>
      <w:proofErr w:type="spellStart"/>
      <w:r>
        <w:t>Rongomaraeroa</w:t>
      </w:r>
      <w:proofErr w:type="spellEnd"/>
      <w:r>
        <w:t xml:space="preserve"> rebuild </w:t>
      </w:r>
    </w:p>
    <w:p w14:paraId="290256C5" w14:textId="77777777" w:rsidR="00F725FF" w:rsidRDefault="00000000">
      <w:pPr>
        <w:ind w:left="-5"/>
      </w:pPr>
      <w:r>
        <w:t xml:space="preserve">Last financial year, after Cyclone Gabrielle, the Pōrangahau Flood Hub provided food, meals and temporary housing and ran a $1.5 million rebuild programme. This year's work was on flood protection on our side of the river and the marae rebuild. </w:t>
      </w:r>
      <w:proofErr w:type="spellStart"/>
      <w:r>
        <w:t>Rongomaraeroa</w:t>
      </w:r>
      <w:proofErr w:type="spellEnd"/>
      <w:r>
        <w:t xml:space="preserve"> leads that rebuild, and Pōrangahau Māori Committee, the rebuild of the Kaumātua flats. Those processes continue </w:t>
      </w:r>
      <w:proofErr w:type="spellStart"/>
      <w:r>
        <w:t>primarly</w:t>
      </w:r>
      <w:proofErr w:type="spellEnd"/>
      <w:r>
        <w:t xml:space="preserve"> under </w:t>
      </w:r>
      <w:proofErr w:type="spellStart"/>
      <w:r>
        <w:t>Rongomareroa</w:t>
      </w:r>
      <w:proofErr w:type="spellEnd"/>
      <w:r>
        <w:t xml:space="preserve"> and PMC. </w:t>
      </w:r>
    </w:p>
    <w:p w14:paraId="59C793D0" w14:textId="77777777" w:rsidR="00F725FF" w:rsidRDefault="00000000">
      <w:pPr>
        <w:spacing w:after="246"/>
        <w:ind w:left="-5"/>
      </w:pPr>
      <w:r>
        <w:t xml:space="preserve">The marae asked NKHA to fund temporary </w:t>
      </w:r>
      <w:proofErr w:type="spellStart"/>
      <w:r>
        <w:t>wharepaku</w:t>
      </w:r>
      <w:proofErr w:type="spellEnd"/>
      <w:r>
        <w:t xml:space="preserve">. The board agreed that NKHA could buy (?100k) and own the block so that it could be sold later to recover the cost. We have now tentatively committed a lot of cash to the rebuild and we need to be much more involved part of the planning process in order to do our fiduciary duty around NKHA cash reserves. </w:t>
      </w:r>
    </w:p>
    <w:p w14:paraId="587E8101" w14:textId="77777777" w:rsidR="00F725FF" w:rsidRDefault="00000000">
      <w:pPr>
        <w:pStyle w:val="Heading4"/>
        <w:ind w:left="-5"/>
      </w:pPr>
      <w:r>
        <w:lastRenderedPageBreak/>
        <w:t xml:space="preserve">Stoneridge fire and INGKA </w:t>
      </w:r>
    </w:p>
    <w:p w14:paraId="0827F987" w14:textId="7C5511A5" w:rsidR="00F725FF" w:rsidRDefault="00000000" w:rsidP="00953AFA">
      <w:pPr>
        <w:ind w:left="-5"/>
      </w:pPr>
      <w:r>
        <w:t xml:space="preserve">In October 2025 fire burned almost 300 hectares near the village - a large part of INGKA's Stoneridge forest close to the village. The fire started on a neighbouring farm and spread in strong wind. Sixty firefighters worked for five days and houses in town were evacuated. The pines were only three years old. We had written to INGKA about the community's fire worries only weeks before the fire. </w:t>
      </w:r>
    </w:p>
    <w:p w14:paraId="009C74AE" w14:textId="77777777" w:rsidR="00F725FF" w:rsidRDefault="00000000">
      <w:pPr>
        <w:ind w:left="-5"/>
      </w:pPr>
      <w:r>
        <w:t xml:space="preserve">On 28 April 2026 hapū members met at the marae and then at Stoneridge Gateway with INGKA, Forestry 360, FENZ and PCG. We asked three questions. How has INGKA assessed and reduced the risk of fire spreading beyond the forest? What water, access and fuel management is in place for a </w:t>
      </w:r>
      <w:proofErr w:type="spellStart"/>
      <w:r>
        <w:t>worstcase</w:t>
      </w:r>
      <w:proofErr w:type="spellEnd"/>
      <w:r>
        <w:t xml:space="preserve"> fire? Who carries the cost if a fire escapes? </w:t>
      </w:r>
    </w:p>
    <w:p w14:paraId="0D34F960" w14:textId="77777777" w:rsidR="00F725FF" w:rsidRDefault="00000000">
      <w:pPr>
        <w:ind w:left="-5"/>
      </w:pPr>
      <w:r>
        <w:t xml:space="preserve">Forestry 360 manages the forest under a Fire Management Plan that sets controls by fire danger. FENZ vouched for the plan. Water storage, helicopter pads and access roads were judged adequate. On the other hand, we maintained that the planting is too close to the township and houses. INGKA would not retire the slopes next to the village. Wider firebreaks of low-flammability natives such as five finger, karamu, ngaio and tarata were discussed but we have had no follow-up. While forest owners must prevent fire and FENZ must put it out, when it comes to the crunch - damage to homes falls on the owner's insurance. </w:t>
      </w:r>
    </w:p>
    <w:p w14:paraId="444F9A43" w14:textId="77777777" w:rsidR="00F725FF" w:rsidRDefault="00000000">
      <w:pPr>
        <w:spacing w:after="251"/>
        <w:ind w:left="-5"/>
      </w:pPr>
      <w:r>
        <w:t xml:space="preserve">The agreed next step is a plan for native firebreaks, with as much local employment as possible, and a fire safety education programme for the village. INGKA committed to support it. Earlier agreements with INGKA from before the 2023 floods also stand. These include 30 to 40 metre riparian setbacks, planting of the Te </w:t>
      </w:r>
      <w:proofErr w:type="spellStart"/>
      <w:r>
        <w:t>Kapotai</w:t>
      </w:r>
      <w:proofErr w:type="spellEnd"/>
      <w:r>
        <w:t xml:space="preserve"> reserve, local contracts, protection of an archaeological site and trees from </w:t>
      </w:r>
      <w:proofErr w:type="spellStart"/>
      <w:r>
        <w:t>Kākano</w:t>
      </w:r>
      <w:proofErr w:type="spellEnd"/>
      <w:r>
        <w:t xml:space="preserve"> Nurseries. Much of the riparian and reserve planting was lost in the floods. INGKA will be our neighbour for two or three generations, and we should try to build that relationship for the long term. </w:t>
      </w:r>
    </w:p>
    <w:p w14:paraId="3CDDDF22" w14:textId="77777777" w:rsidR="00F725FF" w:rsidRDefault="00000000">
      <w:pPr>
        <w:pStyle w:val="Heading4"/>
        <w:ind w:left="-5"/>
      </w:pPr>
      <w:r>
        <w:t xml:space="preserve">Cultural heritage and taonga </w:t>
      </w:r>
    </w:p>
    <w:p w14:paraId="26C5F4F8" w14:textId="77777777" w:rsidR="00F725FF" w:rsidRDefault="00000000">
      <w:pPr>
        <w:ind w:left="-5"/>
      </w:pPr>
      <w:r>
        <w:t xml:space="preserve">The Recollect site is an online cultural heritage repository for Ngāti Kere. It gathers publicly available material in one place. It holds the biographies of Marina and Hillary, tīpuna portraits, Repudiation Movement manuscripts in the form of letters written to Henare Matua about land loss in the 1860-90s, Ngāti Kere histories, and films and recordings about Pōrangahau. Still to come are geotagged maps, waiata and short histories. This is a </w:t>
      </w:r>
      <w:proofErr w:type="spellStart"/>
      <w:r>
        <w:t>Tamateapōkaiwhenua</w:t>
      </w:r>
      <w:proofErr w:type="spellEnd"/>
      <w:r>
        <w:t xml:space="preserve"> PSGE project and Ngāti Kere is the first hapū to build one. Other marae and hapū may follow our model. </w:t>
      </w:r>
    </w:p>
    <w:p w14:paraId="13538ADD" w14:textId="41401185" w:rsidR="00F725FF" w:rsidRDefault="00000000">
      <w:pPr>
        <w:ind w:left="-5"/>
      </w:pPr>
      <w:r>
        <w:t xml:space="preserve">The Waka Tapu a </w:t>
      </w:r>
      <w:proofErr w:type="spellStart"/>
      <w:r>
        <w:t>Tamatearikinui</w:t>
      </w:r>
      <w:proofErr w:type="spellEnd"/>
      <w:r>
        <w:t xml:space="preserve"> </w:t>
      </w:r>
      <w:proofErr w:type="spellStart"/>
      <w:r>
        <w:t>tauihu</w:t>
      </w:r>
      <w:proofErr w:type="spellEnd"/>
      <w:r>
        <w:t xml:space="preserve"> project is a partnership with EIT. I hope to have this done by early 2027. </w:t>
      </w:r>
      <w:r w:rsidR="00953AFA">
        <w:t xml:space="preserve">We have not yet approached the requested </w:t>
      </w:r>
      <w:proofErr w:type="spellStart"/>
      <w:r w:rsidR="00953AFA">
        <w:t>taurapa</w:t>
      </w:r>
      <w:proofErr w:type="spellEnd"/>
      <w:r w:rsidR="00953AFA">
        <w:t xml:space="preserve"> project. </w:t>
      </w:r>
    </w:p>
    <w:p w14:paraId="0702FFAE" w14:textId="77777777" w:rsidR="00F725FF" w:rsidRDefault="00000000">
      <w:pPr>
        <w:spacing w:after="246"/>
        <w:ind w:left="-5"/>
      </w:pPr>
      <w:r>
        <w:t xml:space="preserve">The Poho o Kahungunu carvings have come home. Seven were stored in the Tipene loft and then Waipukurau. Four were held in national museums. We had hoped to house them in Kere, but it sits in the flood zone and we now seek a place where, along with the Henare Matua manuscripts, such taonga can be stored forever - Te Whare Kōrero a Henare Matua.   </w:t>
      </w:r>
    </w:p>
    <w:p w14:paraId="19175CF4" w14:textId="77777777" w:rsidR="00F725FF" w:rsidRDefault="00000000">
      <w:pPr>
        <w:pStyle w:val="Heading4"/>
        <w:ind w:left="-5"/>
      </w:pPr>
      <w:r>
        <w:t xml:space="preserve">Economic development </w:t>
      </w:r>
    </w:p>
    <w:p w14:paraId="0BE1A18F" w14:textId="77777777" w:rsidR="00953AFA" w:rsidRDefault="00000000">
      <w:pPr>
        <w:spacing w:after="245"/>
        <w:ind w:left="-5"/>
      </w:pPr>
      <w:r>
        <w:t xml:space="preserve">Jim has led several enquiries into business for Pōrangahau. 1. Six of us visited fish farms in the north to look at aquaculture. 2. Whenua Oho, a Māori forestry company, held a public meeting in town. 3. With </w:t>
      </w:r>
    </w:p>
    <w:p w14:paraId="0E5F2DEB" w14:textId="77777777" w:rsidR="00953AFA" w:rsidRDefault="00953AFA">
      <w:pPr>
        <w:spacing w:after="245"/>
        <w:ind w:left="-5"/>
      </w:pPr>
    </w:p>
    <w:p w14:paraId="5BE04AF4" w14:textId="53A8864A" w:rsidR="000861A8" w:rsidRDefault="00000000" w:rsidP="00953AFA">
      <w:pPr>
        <w:spacing w:after="245"/>
        <w:ind w:left="-5"/>
      </w:pPr>
      <w:r>
        <w:t xml:space="preserve">BECA, a private consultancy. we applied to the Ministry for Primary Industries (MPI) for $67,000 to scope business options that Ngāti Kere whānau, farms, trusts or NKHA might take up. The work has started. </w:t>
      </w:r>
    </w:p>
    <w:p w14:paraId="61CB26A6" w14:textId="0A1828C2" w:rsidR="00F725FF" w:rsidRDefault="00000000">
      <w:pPr>
        <w:pStyle w:val="Heading4"/>
        <w:ind w:left="-5"/>
      </w:pPr>
      <w:r>
        <w:t xml:space="preserve">Website, registration and newsletters </w:t>
      </w:r>
    </w:p>
    <w:p w14:paraId="49968991" w14:textId="77777777" w:rsidR="00F725FF" w:rsidRDefault="00000000">
      <w:pPr>
        <w:ind w:left="-5"/>
      </w:pPr>
      <w:r>
        <w:t xml:space="preserve">The website ngatikere.com went live in early 2025 and hapū members can register on it. Registrations reached 150 in August 2025 and about 200 by the second newsletter. They slowed in early 2026. Whakapapa is verified by Jim, Tip, </w:t>
      </w:r>
      <w:proofErr w:type="spellStart"/>
      <w:r>
        <w:t>Morehu</w:t>
      </w:r>
      <w:proofErr w:type="spellEnd"/>
      <w:r>
        <w:t xml:space="preserve"> and Rangitāne as necessary.  </w:t>
      </w:r>
    </w:p>
    <w:p w14:paraId="2F2862A8" w14:textId="77777777" w:rsidR="00F725FF" w:rsidRDefault="00000000">
      <w:pPr>
        <w:ind w:left="-5"/>
      </w:pPr>
      <w:r>
        <w:t xml:space="preserve">Registration keeps you in touch with hapū decisions, marae events and wānanga. A large register also strengthens our case with funders and our standing in resource consents and co-governance. Some members still want a better reason before they share their data. We need to answer that. We need to be proactive, informative and exciting.  </w:t>
      </w:r>
    </w:p>
    <w:p w14:paraId="3B5D9ED9" w14:textId="77777777" w:rsidR="00F725FF" w:rsidRDefault="00000000">
      <w:pPr>
        <w:ind w:left="-5"/>
      </w:pPr>
      <w:r>
        <w:t xml:space="preserve">We published two newsletters during this period and they have helped registrations. The website needs more stories. We would love to share the site with the </w:t>
      </w:r>
      <w:proofErr w:type="spellStart"/>
      <w:r>
        <w:t>Rongomaraeroa</w:t>
      </w:r>
      <w:proofErr w:type="spellEnd"/>
      <w:r>
        <w:t xml:space="preserve"> Trustees and the Māori Committee so they can contribute. A communications strategy for 2026 is still to be written. </w:t>
      </w:r>
    </w:p>
    <w:p w14:paraId="11A3C02E" w14:textId="77777777" w:rsidR="00F725FF" w:rsidRDefault="00000000">
      <w:pPr>
        <w:pStyle w:val="Heading4"/>
        <w:ind w:left="-5"/>
      </w:pPr>
      <w:r>
        <w:t xml:space="preserve">Submissions to Parliament </w:t>
      </w:r>
    </w:p>
    <w:p w14:paraId="521053EA" w14:textId="77777777" w:rsidR="00F725FF" w:rsidRDefault="00000000">
      <w:pPr>
        <w:spacing w:after="251"/>
        <w:ind w:left="-5"/>
      </w:pPr>
      <w:r>
        <w:t xml:space="preserve">We made submissions on the Treaty Principles Bill, the Marine and Coastal Area amendments, the Te Ture Whenua Māori Act amendments and the Regulatory Standards Bill. Carole Tipene helped whānau lodge more than 110 individual submissions on the Regulatory Standards Bill from our rohe. </w:t>
      </w:r>
    </w:p>
    <w:p w14:paraId="5770227B" w14:textId="77777777" w:rsidR="00F725FF" w:rsidRDefault="00000000">
      <w:pPr>
        <w:pStyle w:val="Heading4"/>
        <w:ind w:left="-5"/>
      </w:pPr>
      <w:r>
        <w:t xml:space="preserve">Community support, health, te </w:t>
      </w:r>
      <w:proofErr w:type="spellStart"/>
      <w:r>
        <w:t>taiao</w:t>
      </w:r>
      <w:proofErr w:type="spellEnd"/>
      <w:r>
        <w:t xml:space="preserve"> and strategy </w:t>
      </w:r>
    </w:p>
    <w:p w14:paraId="03E7A6CC" w14:textId="77777777" w:rsidR="00F725FF" w:rsidRDefault="00000000">
      <w:pPr>
        <w:ind w:left="-5"/>
      </w:pPr>
      <w:r>
        <w:t xml:space="preserve">NKHA supported several community groups. These included the Pōrangahau Hall, </w:t>
      </w:r>
      <w:proofErr w:type="spellStart"/>
      <w:r>
        <w:t>Whiria</w:t>
      </w:r>
      <w:proofErr w:type="spellEnd"/>
      <w:r>
        <w:t xml:space="preserve"> Te Rangatahi, LABNZ (Lashes), </w:t>
      </w:r>
      <w:proofErr w:type="spellStart"/>
      <w:r>
        <w:t>Tangata</w:t>
      </w:r>
      <w:proofErr w:type="spellEnd"/>
      <w:r>
        <w:t xml:space="preserve"> o Te Wai, the </w:t>
      </w:r>
      <w:proofErr w:type="spellStart"/>
      <w:r>
        <w:t>Ūrupā</w:t>
      </w:r>
      <w:proofErr w:type="spellEnd"/>
      <w:r>
        <w:t xml:space="preserve"> fund and the Te Angiangi community day. We introduced a reporting template for grant recipients, and by October 2025 most of them had reported back. We need an effective funding policy and </w:t>
      </w:r>
      <w:proofErr w:type="spellStart"/>
      <w:r>
        <w:t>koha</w:t>
      </w:r>
      <w:proofErr w:type="spellEnd"/>
      <w:r>
        <w:t xml:space="preserve"> policy for board approval. </w:t>
      </w:r>
    </w:p>
    <w:p w14:paraId="68F698FA" w14:textId="77777777" w:rsidR="00F725FF" w:rsidRDefault="00000000">
      <w:pPr>
        <w:ind w:left="-5"/>
      </w:pPr>
      <w:r>
        <w:t xml:space="preserve">There have been a number of proposals that we really have no way to service. In August 2025 Orlando asked NKHA to help keep a health service in Pōrangahau. Anna Douglas proposed research on </w:t>
      </w:r>
      <w:proofErr w:type="spellStart"/>
      <w:r>
        <w:t>tino</w:t>
      </w:r>
      <w:proofErr w:type="spellEnd"/>
      <w:r>
        <w:t xml:space="preserve"> rangatiratanga. On the </w:t>
      </w:r>
      <w:proofErr w:type="spellStart"/>
      <w:r>
        <w:t>taiao</w:t>
      </w:r>
      <w:proofErr w:type="spellEnd"/>
      <w:r>
        <w:t xml:space="preserve">, Di Smith formed Te Mana Taiao o Heretaunga Tamatea. It draws </w:t>
      </w:r>
      <w:proofErr w:type="spellStart"/>
      <w:r>
        <w:t>taiao</w:t>
      </w:r>
      <w:proofErr w:type="spellEnd"/>
      <w:r>
        <w:t xml:space="preserve"> advisors from 23 marae and 43 hapū to advise </w:t>
      </w:r>
      <w:proofErr w:type="spellStart"/>
      <w:r>
        <w:t>Tamateapōkaiwhenua</w:t>
      </w:r>
      <w:proofErr w:type="spellEnd"/>
      <w:r>
        <w:t xml:space="preserve">. PCG has approached us about moving from a working relationship to treaty partner discussions. We have not been able to </w:t>
      </w:r>
      <w:proofErr w:type="spellStart"/>
      <w:r>
        <w:t>repond</w:t>
      </w:r>
      <w:proofErr w:type="spellEnd"/>
      <w:r>
        <w:t xml:space="preserve"> to these. Capacity is an big issue with the NKHA board. </w:t>
      </w:r>
    </w:p>
    <w:p w14:paraId="5757A9DA" w14:textId="77777777" w:rsidR="00F725FF" w:rsidRDefault="00000000">
      <w:pPr>
        <w:spacing w:after="289"/>
        <w:ind w:left="-5"/>
      </w:pPr>
      <w:r>
        <w:t xml:space="preserve">Another weak area is strategy. Our Trust Deed requires us to work closely with the </w:t>
      </w:r>
      <w:proofErr w:type="spellStart"/>
      <w:r>
        <w:t>Rongomaraeroa</w:t>
      </w:r>
      <w:proofErr w:type="spellEnd"/>
      <w:r>
        <w:t xml:space="preserve"> Trustees, and a joint hapū strategy has been on our list all year. Meetings were set and postponed several times. Nevertheless, we have made financial commitments to the marae. We need to find a way to be more closely involved. </w:t>
      </w:r>
    </w:p>
    <w:p w14:paraId="591BF3C6" w14:textId="77777777" w:rsidR="00F725FF" w:rsidRDefault="00000000">
      <w:pPr>
        <w:pStyle w:val="Heading4"/>
        <w:ind w:left="-5"/>
      </w:pPr>
      <w:r>
        <w:t xml:space="preserve">Finances </w:t>
      </w:r>
    </w:p>
    <w:p w14:paraId="2063DC22" w14:textId="77777777" w:rsidR="00F725FF" w:rsidRDefault="00000000">
      <w:pPr>
        <w:ind w:left="-5"/>
      </w:pPr>
      <w:r>
        <w:t xml:space="preserve">The Treasurer's report and the performance report for the year to 31 March 2026 will be presented separately.  </w:t>
      </w:r>
    </w:p>
    <w:p w14:paraId="712F7823" w14:textId="531F235C" w:rsidR="000861A8" w:rsidRDefault="00000000" w:rsidP="00953AFA">
      <w:pPr>
        <w:ind w:left="-5"/>
      </w:pPr>
      <w:r>
        <w:lastRenderedPageBreak/>
        <w:t xml:space="preserve">Our investment strategy continues to serve the hapū well. The portfolio is low risk and spread across assets and countries, which should carry us through harder times. Our investment fund stood at $973,000 in December 2025 at the last AGM and now is over $1m.  </w:t>
      </w:r>
    </w:p>
    <w:p w14:paraId="60BB9022" w14:textId="0AA4D942" w:rsidR="00F725FF" w:rsidRDefault="00000000">
      <w:pPr>
        <w:spacing w:after="342"/>
        <w:ind w:left="-5"/>
      </w:pPr>
      <w:r>
        <w:t xml:space="preserve">For the 2024–25 year, reported at the last AGM, income was $50,391 and expenses were $94,552. Expenses included $30,000 returned to the Pōrangahau Marae Committee, $24,592 in refundable MACA legal costs, $8,500 for accountants, $7,000 for the website and $7,000 in remaining flood costs. MJM Management Group now prepares our accounts and Charities Services reporting, and the 2024–25 accounts were finalised and signed in October 2025. We have signed off 2025-2026 and will present those shortly.  </w:t>
      </w:r>
    </w:p>
    <w:p w14:paraId="16955D05" w14:textId="77777777" w:rsidR="00F725FF" w:rsidRDefault="00000000">
      <w:pPr>
        <w:pStyle w:val="Heading3"/>
        <w:ind w:left="-5"/>
      </w:pPr>
      <w:r>
        <w:t xml:space="preserve">The year ahead </w:t>
      </w:r>
    </w:p>
    <w:p w14:paraId="7B1E352C" w14:textId="77777777" w:rsidR="00F725FF" w:rsidRDefault="00000000">
      <w:pPr>
        <w:ind w:left="-5"/>
      </w:pPr>
      <w:r>
        <w:t xml:space="preserve">We achieved a great deal with a small board. The impending return of the Blackhead Village site, the MACA rights, the Te Angiangi marine reserve seats, the slow but real progress on Parimahu access and the Recollect model are real gains. But much of our work depends on a few people, and several tasks have sat on our action list for over a year. These include the joint strategy with the marae and the forward strategic planning. </w:t>
      </w:r>
    </w:p>
    <w:p w14:paraId="50EAC734" w14:textId="77777777" w:rsidR="00F725FF" w:rsidRDefault="00000000">
      <w:pPr>
        <w:ind w:left="-5"/>
      </w:pPr>
      <w:r>
        <w:t xml:space="preserve">I propose five priorities for the coming year. First, strengthen the board with at least two new co-opted trustees and hold some meetings at the marae. Second, agree a joint strategy and annual plan with the </w:t>
      </w:r>
      <w:proofErr w:type="spellStart"/>
      <w:r>
        <w:t>Rongomaraeroa</w:t>
      </w:r>
      <w:proofErr w:type="spellEnd"/>
      <w:r>
        <w:t xml:space="preserve"> Trustees to include a detailed funding package. Third, progress the Parimahu access project and bring a firm access proposal to a Hui-a-Hapū. Fourth, decide our response to the MACA amendment with our lawyer, and continue our own wāhi tapu mapping regardless. Fifth, turn the INGKA meeting into a signed fire and firebreak plan with local jobs. </w:t>
      </w:r>
    </w:p>
    <w:p w14:paraId="59E8F739" w14:textId="77777777" w:rsidR="00F725FF" w:rsidRDefault="00000000">
      <w:pPr>
        <w:spacing w:after="289"/>
        <w:ind w:left="-5"/>
      </w:pPr>
      <w:r>
        <w:t xml:space="preserve">We should also hold Hui-a-Hapū more often, as members asked in June 2025. They gave the board its clearest direction all year. </w:t>
      </w:r>
    </w:p>
    <w:p w14:paraId="59611DAC" w14:textId="77777777" w:rsidR="00F725FF" w:rsidRDefault="00000000">
      <w:pPr>
        <w:pStyle w:val="Heading4"/>
        <w:ind w:left="-5"/>
      </w:pPr>
      <w:r>
        <w:t xml:space="preserve">Acknowledgements </w:t>
      </w:r>
    </w:p>
    <w:p w14:paraId="7DBC32C3" w14:textId="77777777" w:rsidR="00F725FF" w:rsidRDefault="00000000">
      <w:pPr>
        <w:ind w:left="-5"/>
      </w:pPr>
      <w:r>
        <w:t xml:space="preserve">My thanks to my fellow trustees Jim Hutcheson, and Emily </w:t>
      </w:r>
      <w:proofErr w:type="spellStart"/>
      <w:r>
        <w:t>Tutaki</w:t>
      </w:r>
      <w:proofErr w:type="spellEnd"/>
      <w:r>
        <w:t xml:space="preserve">. We wish to acknowledge </w:t>
      </w:r>
      <w:proofErr w:type="spellStart"/>
      <w:r>
        <w:t>Kerianne</w:t>
      </w:r>
      <w:proofErr w:type="spellEnd"/>
      <w:r>
        <w:t xml:space="preserve"> Stephens for 4 years of hard work on the NKHA – her contributions as board member and Treasurer have been legend. Huge thanks also to Tania Nicholas for her 4 years service as board secretary and the role she played in looking after our funds during the flood. We thank Leo Watson for his legal work, Helena </w:t>
      </w:r>
      <w:proofErr w:type="spellStart"/>
      <w:r>
        <w:t>Winiata</w:t>
      </w:r>
      <w:proofErr w:type="spellEnd"/>
      <w:r>
        <w:t xml:space="preserve"> for representing us at </w:t>
      </w:r>
      <w:proofErr w:type="spellStart"/>
      <w:r>
        <w:t>Tamateapōkaiwhenua</w:t>
      </w:r>
      <w:proofErr w:type="spellEnd"/>
      <w:r>
        <w:t xml:space="preserve"> and her contribution as a co-opted board member, and our </w:t>
      </w:r>
      <w:proofErr w:type="spellStart"/>
      <w:r>
        <w:t>Tangata</w:t>
      </w:r>
      <w:proofErr w:type="spellEnd"/>
      <w:r>
        <w:t xml:space="preserve"> Kaitiaki for their work on the coast. We thank the </w:t>
      </w:r>
      <w:proofErr w:type="spellStart"/>
      <w:r>
        <w:t>Rongomaraeroa</w:t>
      </w:r>
      <w:proofErr w:type="spellEnd"/>
      <w:r>
        <w:t xml:space="preserve"> Trustees for holding things together over a difficult time, the Marae Committee for helping out at our hui, the Pōrangahau Māori Committee for their own difficult </w:t>
      </w:r>
      <w:proofErr w:type="spellStart"/>
      <w:r>
        <w:t>propject</w:t>
      </w:r>
      <w:proofErr w:type="spellEnd"/>
      <w:r>
        <w:t xml:space="preserve"> with the </w:t>
      </w:r>
      <w:proofErr w:type="spellStart"/>
      <w:r>
        <w:t>Kaumātau</w:t>
      </w:r>
      <w:proofErr w:type="spellEnd"/>
      <w:r>
        <w:t xml:space="preserve"> Flats, and every member who came to a hui, lodged a submission or registered. </w:t>
      </w:r>
    </w:p>
    <w:p w14:paraId="37F45688" w14:textId="77777777" w:rsidR="00F725FF" w:rsidRDefault="00000000">
      <w:pPr>
        <w:spacing w:after="160" w:line="259" w:lineRule="auto"/>
        <w:ind w:left="-5"/>
      </w:pPr>
      <w:proofErr w:type="spellStart"/>
      <w:r>
        <w:rPr>
          <w:b/>
        </w:rPr>
        <w:t>Hoake</w:t>
      </w:r>
      <w:proofErr w:type="spellEnd"/>
      <w:r>
        <w:rPr>
          <w:b/>
        </w:rPr>
        <w:t xml:space="preserve"> Ngāti Kere! </w:t>
      </w:r>
    </w:p>
    <w:p w14:paraId="33A86444" w14:textId="77777777" w:rsidR="00F725FF" w:rsidRDefault="00000000">
      <w:pPr>
        <w:ind w:left="-5"/>
      </w:pPr>
      <w:proofErr w:type="spellStart"/>
      <w:r>
        <w:t>Nāhaku</w:t>
      </w:r>
      <w:proofErr w:type="spellEnd"/>
      <w:r>
        <w:t xml:space="preserve"> </w:t>
      </w:r>
    </w:p>
    <w:p w14:paraId="76560F7B" w14:textId="77777777" w:rsidR="00953AFA" w:rsidRDefault="00000000" w:rsidP="00953AFA">
      <w:pPr>
        <w:ind w:left="-5"/>
      </w:pPr>
      <w:r>
        <w:t xml:space="preserve">David Tipene-Leach Chair,  </w:t>
      </w:r>
      <w:r w:rsidR="00953AFA">
        <w:t xml:space="preserve">Ngāti Kere Hapū Authority </w:t>
      </w:r>
    </w:p>
    <w:p w14:paraId="3EA6190E" w14:textId="77777777" w:rsidR="00F725FF" w:rsidRDefault="00F725FF" w:rsidP="00953AFA">
      <w:pPr>
        <w:ind w:left="0" w:firstLine="0"/>
        <w:sectPr w:rsidR="00F725FF" w:rsidSect="00830011">
          <w:headerReference w:type="even" r:id="rId16"/>
          <w:headerReference w:type="default" r:id="rId17"/>
          <w:headerReference w:type="first" r:id="rId18"/>
          <w:pgSz w:w="12240" w:h="15840"/>
          <w:pgMar w:top="1609" w:right="1440" w:bottom="1606" w:left="1440" w:header="720" w:footer="720" w:gutter="0"/>
          <w:cols w:space="720"/>
        </w:sectPr>
      </w:pPr>
    </w:p>
    <w:p w14:paraId="051C14D1" w14:textId="77777777" w:rsidR="00F725FF" w:rsidRDefault="00000000">
      <w:pPr>
        <w:pStyle w:val="Heading4"/>
        <w:spacing w:after="0"/>
        <w:ind w:left="0" w:firstLine="0"/>
      </w:pPr>
      <w:r>
        <w:rPr>
          <w:rFonts w:ascii="Noto Serif" w:eastAsia="Noto Serif" w:hAnsi="Noto Serif" w:cs="Noto Serif"/>
          <w:sz w:val="27"/>
        </w:rPr>
        <w:lastRenderedPageBreak/>
        <w:t>Ngāti Kere Hapū Authority – Financial Overview</w:t>
      </w:r>
    </w:p>
    <w:p w14:paraId="21574A87" w14:textId="77777777" w:rsidR="00F725FF" w:rsidRDefault="00000000">
      <w:pPr>
        <w:pStyle w:val="Heading5"/>
      </w:pPr>
      <w:r>
        <w:t>For the year ended 31 March 2026</w:t>
      </w:r>
    </w:p>
    <w:p w14:paraId="2CD2E427" w14:textId="77777777" w:rsidR="00F725FF" w:rsidRDefault="00000000">
      <w:pPr>
        <w:spacing w:after="122" w:line="255" w:lineRule="auto"/>
        <w:ind w:left="-5"/>
      </w:pPr>
      <w:r>
        <w:rPr>
          <w:rFonts w:ascii="Noto Serif" w:eastAsia="Noto Serif" w:hAnsi="Noto Serif" w:cs="Noto Serif"/>
          <w:sz w:val="21"/>
        </w:rPr>
        <w:t>The 2025/2026 financial year was a much quieter operating year for Ngāti Kere Hapū Authority, with income and expenditure returning to the normal administration, governance and hapū activity of NKHA rather than large externally funded programmes. The year ended with a surplus and further growth in the investment portfolio.</w:t>
      </w:r>
    </w:p>
    <w:p w14:paraId="31876E1B" w14:textId="77777777" w:rsidR="00F725FF" w:rsidRDefault="00000000">
      <w:pPr>
        <w:spacing w:after="64" w:line="259" w:lineRule="auto"/>
        <w:ind w:left="-5"/>
      </w:pPr>
      <w:r>
        <w:rPr>
          <w:rFonts w:ascii="Noto Serif" w:eastAsia="Noto Serif" w:hAnsi="Noto Serif" w:cs="Noto Serif"/>
          <w:b/>
        </w:rPr>
        <w:t>Financial Performance</w:t>
      </w:r>
    </w:p>
    <w:p w14:paraId="3397D5A8" w14:textId="77777777" w:rsidR="00F725FF" w:rsidRDefault="00000000">
      <w:pPr>
        <w:spacing w:after="122" w:line="255" w:lineRule="auto"/>
        <w:ind w:left="-5"/>
      </w:pPr>
      <w:r w:rsidRPr="00953AFA">
        <w:rPr>
          <w:rFonts w:ascii="Noto Serif" w:eastAsia="Noto Serif" w:hAnsi="Noto Serif" w:cs="Noto Serif"/>
          <w:sz w:val="21"/>
          <w:highlight w:val="yellow"/>
          <w:u w:val="single"/>
        </w:rPr>
        <w:t>Total income for the year was $36,784</w:t>
      </w:r>
      <w:r w:rsidRPr="00953AFA">
        <w:rPr>
          <w:rFonts w:ascii="Noto Serif" w:eastAsia="Noto Serif" w:hAnsi="Noto Serif" w:cs="Noto Serif"/>
          <w:sz w:val="21"/>
          <w:highlight w:val="yellow"/>
        </w:rPr>
        <w:t>.</w:t>
      </w:r>
      <w:r>
        <w:rPr>
          <w:rFonts w:ascii="Noto Serif" w:eastAsia="Noto Serif" w:hAnsi="Noto Serif" w:cs="Noto Serif"/>
          <w:sz w:val="21"/>
        </w:rPr>
        <w:t xml:space="preserve"> The largest source of income was the investment portfolio, which generated $32,624 in investment income. A further $285 was received in bank interest and $3,225 was received from cultural monitoring.</w:t>
      </w:r>
    </w:p>
    <w:p w14:paraId="62EC4B52" w14:textId="77777777" w:rsidR="00F725FF" w:rsidRDefault="00000000">
      <w:pPr>
        <w:spacing w:after="122" w:line="255" w:lineRule="auto"/>
        <w:ind w:left="-5"/>
      </w:pPr>
      <w:r w:rsidRPr="00953AFA">
        <w:rPr>
          <w:rFonts w:ascii="Noto Serif" w:eastAsia="Noto Serif" w:hAnsi="Noto Serif" w:cs="Noto Serif"/>
          <w:sz w:val="21"/>
          <w:highlight w:val="yellow"/>
          <w:u w:val="single"/>
        </w:rPr>
        <w:t>Total expenditure was $22,906</w:t>
      </w:r>
      <w:r>
        <w:rPr>
          <w:rFonts w:ascii="Noto Serif" w:eastAsia="Noto Serif" w:hAnsi="Noto Serif" w:cs="Noto Serif"/>
          <w:sz w:val="21"/>
        </w:rPr>
        <w:t>. This covered the administration, governance and other activities undertaken by NKHA during the year.</w:t>
      </w:r>
    </w:p>
    <w:p w14:paraId="1E1278F6" w14:textId="77777777" w:rsidR="00F725FF" w:rsidRDefault="00000000">
      <w:pPr>
        <w:spacing w:after="122" w:line="255" w:lineRule="auto"/>
        <w:ind w:left="-5"/>
      </w:pPr>
      <w:r w:rsidRPr="00953AFA">
        <w:rPr>
          <w:rFonts w:ascii="Noto Serif" w:eastAsia="Noto Serif" w:hAnsi="Noto Serif" w:cs="Noto Serif"/>
          <w:sz w:val="21"/>
          <w:highlight w:val="yellow"/>
          <w:u w:val="single"/>
        </w:rPr>
        <w:t>The result for the year was a surplus of $13,878.</w:t>
      </w:r>
      <w:r>
        <w:rPr>
          <w:rFonts w:ascii="Noto Serif" w:eastAsia="Noto Serif" w:hAnsi="Noto Serif" w:cs="Noto Serif"/>
          <w:sz w:val="21"/>
        </w:rPr>
        <w:t xml:space="preserve"> This means the income recognised for the year was sufficient to meet the expenditure recorded for the same period.</w:t>
      </w:r>
    </w:p>
    <w:p w14:paraId="45B7259F" w14:textId="77777777" w:rsidR="00F725FF" w:rsidRDefault="00000000">
      <w:pPr>
        <w:spacing w:after="64" w:line="259" w:lineRule="auto"/>
        <w:ind w:left="-5"/>
      </w:pPr>
      <w:r>
        <w:rPr>
          <w:rFonts w:ascii="Noto Serif" w:eastAsia="Noto Serif" w:hAnsi="Noto Serif" w:cs="Noto Serif"/>
          <w:b/>
        </w:rPr>
        <w:t>Investment Performance</w:t>
      </w:r>
    </w:p>
    <w:p w14:paraId="1E2B1DB4" w14:textId="77777777" w:rsidR="00F725FF" w:rsidRDefault="00000000">
      <w:pPr>
        <w:spacing w:after="122" w:line="255" w:lineRule="auto"/>
        <w:ind w:left="-5"/>
      </w:pPr>
      <w:r>
        <w:rPr>
          <w:rFonts w:ascii="Noto Serif" w:eastAsia="Noto Serif" w:hAnsi="Noto Serif" w:cs="Noto Serif"/>
          <w:sz w:val="21"/>
        </w:rPr>
        <w:t xml:space="preserve">The investment portfolio continued to make a significant contribution to the financial position. In addition to the </w:t>
      </w:r>
      <w:r w:rsidRPr="000861A8">
        <w:rPr>
          <w:rFonts w:ascii="Noto Serif" w:eastAsia="Noto Serif" w:hAnsi="Noto Serif" w:cs="Noto Serif"/>
          <w:sz w:val="21"/>
          <w:u w:val="single"/>
        </w:rPr>
        <w:t>$</w:t>
      </w:r>
      <w:r w:rsidRPr="00953AFA">
        <w:rPr>
          <w:rFonts w:ascii="Noto Serif" w:eastAsia="Noto Serif" w:hAnsi="Noto Serif" w:cs="Noto Serif"/>
          <w:sz w:val="21"/>
          <w:highlight w:val="yellow"/>
          <w:u w:val="single"/>
        </w:rPr>
        <w:t>32,624 of investment income</w:t>
      </w:r>
      <w:r w:rsidRPr="000861A8">
        <w:rPr>
          <w:rFonts w:ascii="Noto Serif" w:eastAsia="Noto Serif" w:hAnsi="Noto Serif" w:cs="Noto Serif"/>
          <w:sz w:val="21"/>
          <w:u w:val="single"/>
        </w:rPr>
        <w:t xml:space="preserve"> </w:t>
      </w:r>
      <w:r>
        <w:rPr>
          <w:rFonts w:ascii="Noto Serif" w:eastAsia="Noto Serif" w:hAnsi="Noto Serif" w:cs="Noto Serif"/>
          <w:sz w:val="21"/>
        </w:rPr>
        <w:t xml:space="preserve">received during the year, the </w:t>
      </w:r>
      <w:r w:rsidRPr="00953AFA">
        <w:rPr>
          <w:rFonts w:ascii="Noto Serif" w:eastAsia="Noto Serif" w:hAnsi="Noto Serif" w:cs="Noto Serif"/>
          <w:sz w:val="21"/>
          <w:highlight w:val="yellow"/>
          <w:u w:val="single"/>
        </w:rPr>
        <w:t>market value of the portfolio increased by $49,021</w:t>
      </w:r>
      <w:r w:rsidRPr="000861A8">
        <w:rPr>
          <w:rFonts w:ascii="Noto Serif" w:eastAsia="Noto Serif" w:hAnsi="Noto Serif" w:cs="Noto Serif"/>
          <w:sz w:val="21"/>
          <w:u w:val="single"/>
        </w:rPr>
        <w:t>.</w:t>
      </w:r>
    </w:p>
    <w:p w14:paraId="771F4D2B" w14:textId="77777777" w:rsidR="00F725FF" w:rsidRDefault="00000000">
      <w:pPr>
        <w:spacing w:after="122" w:line="255" w:lineRule="auto"/>
        <w:ind w:left="-5"/>
      </w:pPr>
      <w:r>
        <w:rPr>
          <w:noProof/>
        </w:rPr>
        <w:drawing>
          <wp:anchor distT="0" distB="0" distL="114300" distR="114300" simplePos="0" relativeHeight="251660288" behindDoc="0" locked="0" layoutInCell="1" allowOverlap="0" wp14:anchorId="17C6B610" wp14:editId="3D434E11">
            <wp:simplePos x="0" y="0"/>
            <wp:positionH relativeFrom="page">
              <wp:posOffset>3495040</wp:posOffset>
            </wp:positionH>
            <wp:positionV relativeFrom="page">
              <wp:posOffset>111760</wp:posOffset>
            </wp:positionV>
            <wp:extent cx="782955" cy="782955"/>
            <wp:effectExtent l="0" t="0" r="0" b="0"/>
            <wp:wrapTopAndBottom/>
            <wp:docPr id="1545" name="Picture 1545"/>
            <wp:cNvGraphicFramePr/>
            <a:graphic xmlns:a="http://schemas.openxmlformats.org/drawingml/2006/main">
              <a:graphicData uri="http://schemas.openxmlformats.org/drawingml/2006/picture">
                <pic:pic xmlns:pic="http://schemas.openxmlformats.org/drawingml/2006/picture">
                  <pic:nvPicPr>
                    <pic:cNvPr id="1545" name="Picture 1545"/>
                    <pic:cNvPicPr/>
                  </pic:nvPicPr>
                  <pic:blipFill>
                    <a:blip r:embed="rId7"/>
                    <a:stretch>
                      <a:fillRect/>
                    </a:stretch>
                  </pic:blipFill>
                  <pic:spPr>
                    <a:xfrm>
                      <a:off x="0" y="0"/>
                      <a:ext cx="782955" cy="782955"/>
                    </a:xfrm>
                    <a:prstGeom prst="rect">
                      <a:avLst/>
                    </a:prstGeom>
                  </pic:spPr>
                </pic:pic>
              </a:graphicData>
            </a:graphic>
          </wp:anchor>
        </w:drawing>
      </w:r>
      <w:r>
        <w:rPr>
          <w:rFonts w:ascii="Noto Serif" w:eastAsia="Noto Serif" w:hAnsi="Noto Serif" w:cs="Noto Serif"/>
          <w:sz w:val="21"/>
        </w:rPr>
        <w:t>Combined, investment income and market growth contributed approximately $81,645 during the year. At 31 March 2026, the investment portfolio was valued at $957,153.</w:t>
      </w:r>
    </w:p>
    <w:p w14:paraId="06E04F1B" w14:textId="77777777" w:rsidR="00F725FF" w:rsidRDefault="00000000">
      <w:pPr>
        <w:spacing w:after="64" w:line="259" w:lineRule="auto"/>
        <w:ind w:left="-5"/>
      </w:pPr>
      <w:r>
        <w:rPr>
          <w:rFonts w:ascii="Noto Serif" w:eastAsia="Noto Serif" w:hAnsi="Noto Serif" w:cs="Noto Serif"/>
          <w:b/>
        </w:rPr>
        <w:t>Statement of Financial Position</w:t>
      </w:r>
    </w:p>
    <w:p w14:paraId="6647623F" w14:textId="77777777" w:rsidR="00F725FF" w:rsidRDefault="00000000">
      <w:pPr>
        <w:spacing w:after="3" w:line="255" w:lineRule="auto"/>
        <w:ind w:left="-5"/>
        <w:rPr>
          <w:rFonts w:ascii="Noto Serif" w:eastAsia="Noto Serif" w:hAnsi="Noto Serif" w:cs="Noto Serif"/>
          <w:sz w:val="21"/>
        </w:rPr>
      </w:pPr>
      <w:r>
        <w:rPr>
          <w:rFonts w:ascii="Noto Serif" w:eastAsia="Noto Serif" w:hAnsi="Noto Serif" w:cs="Noto Serif"/>
          <w:sz w:val="21"/>
        </w:rPr>
        <w:t xml:space="preserve">At 31 March 2026, bank balances were $78,297 and debtors and prepayments were $3,709. The investment portfolio was valued at </w:t>
      </w:r>
      <w:r w:rsidRPr="00953AFA">
        <w:rPr>
          <w:rFonts w:ascii="Noto Serif" w:eastAsia="Noto Serif" w:hAnsi="Noto Serif" w:cs="Noto Serif"/>
          <w:sz w:val="21"/>
          <w:highlight w:val="yellow"/>
        </w:rPr>
        <w:t>$957,153</w:t>
      </w:r>
      <w:r>
        <w:rPr>
          <w:rFonts w:ascii="Noto Serif" w:eastAsia="Noto Serif" w:hAnsi="Noto Serif" w:cs="Noto Serif"/>
          <w:sz w:val="21"/>
        </w:rPr>
        <w:t xml:space="preserve"> and other non-current assets were $11,213.</w:t>
      </w:r>
    </w:p>
    <w:p w14:paraId="16BB143B" w14:textId="77777777" w:rsidR="000861A8" w:rsidRDefault="000861A8">
      <w:pPr>
        <w:spacing w:after="3" w:line="255" w:lineRule="auto"/>
        <w:ind w:left="-5"/>
      </w:pPr>
    </w:p>
    <w:tbl>
      <w:tblPr>
        <w:tblStyle w:val="TableGrid"/>
        <w:tblW w:w="10439" w:type="dxa"/>
        <w:tblInd w:w="-2" w:type="dxa"/>
        <w:tblCellMar>
          <w:top w:w="0" w:type="dxa"/>
          <w:left w:w="0" w:type="dxa"/>
          <w:bottom w:w="0" w:type="dxa"/>
          <w:right w:w="115" w:type="dxa"/>
        </w:tblCellMar>
        <w:tblLook w:val="04A0" w:firstRow="1" w:lastRow="0" w:firstColumn="1" w:lastColumn="0" w:noHBand="0" w:noVBand="1"/>
      </w:tblPr>
      <w:tblGrid>
        <w:gridCol w:w="108"/>
        <w:gridCol w:w="5328"/>
        <w:gridCol w:w="4897"/>
        <w:gridCol w:w="106"/>
      </w:tblGrid>
      <w:tr w:rsidR="00F725FF" w14:paraId="033B73A3" w14:textId="77777777">
        <w:trPr>
          <w:trHeight w:val="461"/>
        </w:trPr>
        <w:tc>
          <w:tcPr>
            <w:tcW w:w="5437" w:type="dxa"/>
            <w:gridSpan w:val="2"/>
            <w:tcBorders>
              <w:top w:val="nil"/>
              <w:left w:val="nil"/>
              <w:bottom w:val="nil"/>
              <w:right w:val="nil"/>
            </w:tcBorders>
            <w:shd w:val="clear" w:color="auto" w:fill="D9EAF7"/>
          </w:tcPr>
          <w:p w14:paraId="5B9107DE" w14:textId="77777777" w:rsidR="00F725FF" w:rsidRDefault="00000000">
            <w:pPr>
              <w:spacing w:after="0" w:line="259" w:lineRule="auto"/>
              <w:ind w:left="110" w:firstLine="0"/>
            </w:pPr>
            <w:r>
              <w:rPr>
                <w:rFonts w:ascii="Noto Serif" w:eastAsia="Noto Serif" w:hAnsi="Noto Serif" w:cs="Noto Serif"/>
                <w:b/>
                <w:sz w:val="19"/>
              </w:rPr>
              <w:t>Financial position at 31 March 2026</w:t>
            </w:r>
          </w:p>
        </w:tc>
        <w:tc>
          <w:tcPr>
            <w:tcW w:w="5002" w:type="dxa"/>
            <w:gridSpan w:val="2"/>
            <w:tcBorders>
              <w:top w:val="nil"/>
              <w:left w:val="nil"/>
              <w:bottom w:val="nil"/>
              <w:right w:val="nil"/>
            </w:tcBorders>
            <w:shd w:val="clear" w:color="auto" w:fill="D9EAF7"/>
          </w:tcPr>
          <w:p w14:paraId="65E7A896" w14:textId="77777777" w:rsidR="00F725FF" w:rsidRDefault="00000000">
            <w:pPr>
              <w:spacing w:after="0" w:line="259" w:lineRule="auto"/>
              <w:ind w:left="0" w:firstLine="0"/>
            </w:pPr>
            <w:r>
              <w:rPr>
                <w:rFonts w:ascii="Noto Serif" w:eastAsia="Noto Serif" w:hAnsi="Noto Serif" w:cs="Noto Serif"/>
                <w:b/>
                <w:sz w:val="19"/>
              </w:rPr>
              <w:t>Amount</w:t>
            </w:r>
          </w:p>
        </w:tc>
      </w:tr>
      <w:tr w:rsidR="00F725FF" w14:paraId="5E3CF752" w14:textId="77777777">
        <w:tblPrEx>
          <w:tblCellMar>
            <w:right w:w="0" w:type="dxa"/>
          </w:tblCellMar>
        </w:tblPrEx>
        <w:trPr>
          <w:gridBefore w:val="1"/>
          <w:gridAfter w:val="1"/>
          <w:wBefore w:w="108" w:type="dxa"/>
          <w:wAfter w:w="106" w:type="dxa"/>
          <w:trHeight w:val="281"/>
        </w:trPr>
        <w:tc>
          <w:tcPr>
            <w:tcW w:w="5327" w:type="dxa"/>
            <w:tcBorders>
              <w:top w:val="nil"/>
              <w:left w:val="nil"/>
              <w:bottom w:val="nil"/>
              <w:right w:val="nil"/>
            </w:tcBorders>
          </w:tcPr>
          <w:p w14:paraId="1ACFF255" w14:textId="77777777" w:rsidR="00F725FF" w:rsidRDefault="00000000">
            <w:pPr>
              <w:spacing w:after="0" w:line="259" w:lineRule="auto"/>
              <w:ind w:left="0" w:firstLine="0"/>
            </w:pPr>
            <w:r>
              <w:rPr>
                <w:rFonts w:ascii="Noto Serif" w:eastAsia="Noto Serif" w:hAnsi="Noto Serif" w:cs="Noto Serif"/>
                <w:sz w:val="19"/>
              </w:rPr>
              <w:t>Bank balances</w:t>
            </w:r>
          </w:p>
        </w:tc>
        <w:tc>
          <w:tcPr>
            <w:tcW w:w="4898" w:type="dxa"/>
            <w:tcBorders>
              <w:top w:val="nil"/>
              <w:left w:val="nil"/>
              <w:bottom w:val="nil"/>
              <w:right w:val="nil"/>
            </w:tcBorders>
          </w:tcPr>
          <w:p w14:paraId="3690709D" w14:textId="77777777" w:rsidR="00F725FF" w:rsidRDefault="00000000">
            <w:pPr>
              <w:spacing w:after="0" w:line="259" w:lineRule="auto"/>
              <w:ind w:left="0" w:firstLine="0"/>
              <w:jc w:val="right"/>
            </w:pPr>
            <w:r>
              <w:rPr>
                <w:rFonts w:ascii="Noto Serif" w:eastAsia="Noto Serif" w:hAnsi="Noto Serif" w:cs="Noto Serif"/>
                <w:sz w:val="19"/>
              </w:rPr>
              <w:t>$78,297</w:t>
            </w:r>
          </w:p>
        </w:tc>
      </w:tr>
      <w:tr w:rsidR="00F725FF" w14:paraId="6686BAD4" w14:textId="77777777">
        <w:tblPrEx>
          <w:tblCellMar>
            <w:right w:w="0" w:type="dxa"/>
          </w:tblCellMar>
        </w:tblPrEx>
        <w:trPr>
          <w:gridBefore w:val="1"/>
          <w:gridAfter w:val="1"/>
          <w:wBefore w:w="108" w:type="dxa"/>
          <w:wAfter w:w="106" w:type="dxa"/>
          <w:trHeight w:val="303"/>
        </w:trPr>
        <w:tc>
          <w:tcPr>
            <w:tcW w:w="5327" w:type="dxa"/>
            <w:tcBorders>
              <w:top w:val="nil"/>
              <w:left w:val="nil"/>
              <w:bottom w:val="nil"/>
              <w:right w:val="nil"/>
            </w:tcBorders>
          </w:tcPr>
          <w:p w14:paraId="63E8FF25" w14:textId="77777777" w:rsidR="00F725FF" w:rsidRDefault="00000000">
            <w:pPr>
              <w:spacing w:after="0" w:line="259" w:lineRule="auto"/>
              <w:ind w:left="0" w:firstLine="0"/>
            </w:pPr>
            <w:r>
              <w:rPr>
                <w:rFonts w:ascii="Noto Serif" w:eastAsia="Noto Serif" w:hAnsi="Noto Serif" w:cs="Noto Serif"/>
                <w:sz w:val="19"/>
              </w:rPr>
              <w:t>Debtors and prepayments</w:t>
            </w:r>
          </w:p>
        </w:tc>
        <w:tc>
          <w:tcPr>
            <w:tcW w:w="4898" w:type="dxa"/>
            <w:tcBorders>
              <w:top w:val="nil"/>
              <w:left w:val="nil"/>
              <w:bottom w:val="nil"/>
              <w:right w:val="nil"/>
            </w:tcBorders>
          </w:tcPr>
          <w:p w14:paraId="7C912008" w14:textId="77777777" w:rsidR="00F725FF" w:rsidRDefault="00000000">
            <w:pPr>
              <w:spacing w:after="0" w:line="259" w:lineRule="auto"/>
              <w:ind w:left="0" w:firstLine="0"/>
              <w:jc w:val="right"/>
            </w:pPr>
            <w:r>
              <w:rPr>
                <w:rFonts w:ascii="Noto Serif" w:eastAsia="Noto Serif" w:hAnsi="Noto Serif" w:cs="Noto Serif"/>
                <w:sz w:val="19"/>
              </w:rPr>
              <w:t>$3,709</w:t>
            </w:r>
          </w:p>
        </w:tc>
      </w:tr>
      <w:tr w:rsidR="00F725FF" w14:paraId="3D822358" w14:textId="77777777">
        <w:tblPrEx>
          <w:tblCellMar>
            <w:right w:w="0" w:type="dxa"/>
          </w:tblCellMar>
        </w:tblPrEx>
        <w:trPr>
          <w:gridBefore w:val="1"/>
          <w:gridAfter w:val="1"/>
          <w:wBefore w:w="108" w:type="dxa"/>
          <w:wAfter w:w="106" w:type="dxa"/>
          <w:trHeight w:val="303"/>
        </w:trPr>
        <w:tc>
          <w:tcPr>
            <w:tcW w:w="5327" w:type="dxa"/>
            <w:tcBorders>
              <w:top w:val="nil"/>
              <w:left w:val="nil"/>
              <w:bottom w:val="nil"/>
              <w:right w:val="nil"/>
            </w:tcBorders>
          </w:tcPr>
          <w:p w14:paraId="59BA54D2" w14:textId="77777777" w:rsidR="00F725FF" w:rsidRDefault="00000000">
            <w:pPr>
              <w:spacing w:after="0" w:line="259" w:lineRule="auto"/>
              <w:ind w:left="0" w:firstLine="0"/>
            </w:pPr>
            <w:r>
              <w:rPr>
                <w:rFonts w:ascii="Noto Serif" w:eastAsia="Noto Serif" w:hAnsi="Noto Serif" w:cs="Noto Serif"/>
                <w:sz w:val="19"/>
              </w:rPr>
              <w:t>Investment portfolio</w:t>
            </w:r>
          </w:p>
        </w:tc>
        <w:tc>
          <w:tcPr>
            <w:tcW w:w="4898" w:type="dxa"/>
            <w:tcBorders>
              <w:top w:val="nil"/>
              <w:left w:val="nil"/>
              <w:bottom w:val="nil"/>
              <w:right w:val="nil"/>
            </w:tcBorders>
          </w:tcPr>
          <w:p w14:paraId="5C54D527" w14:textId="77777777" w:rsidR="00F725FF" w:rsidRDefault="00000000">
            <w:pPr>
              <w:spacing w:after="0" w:line="259" w:lineRule="auto"/>
              <w:ind w:left="0" w:firstLine="0"/>
              <w:jc w:val="right"/>
            </w:pPr>
            <w:r>
              <w:rPr>
                <w:rFonts w:ascii="Noto Serif" w:eastAsia="Noto Serif" w:hAnsi="Noto Serif" w:cs="Noto Serif"/>
                <w:sz w:val="19"/>
              </w:rPr>
              <w:t>$957,153</w:t>
            </w:r>
          </w:p>
        </w:tc>
      </w:tr>
      <w:tr w:rsidR="00F725FF" w14:paraId="3A3376D8" w14:textId="77777777">
        <w:tblPrEx>
          <w:tblCellMar>
            <w:right w:w="0" w:type="dxa"/>
          </w:tblCellMar>
        </w:tblPrEx>
        <w:trPr>
          <w:gridBefore w:val="1"/>
          <w:gridAfter w:val="1"/>
          <w:wBefore w:w="108" w:type="dxa"/>
          <w:wAfter w:w="106" w:type="dxa"/>
          <w:trHeight w:val="303"/>
        </w:trPr>
        <w:tc>
          <w:tcPr>
            <w:tcW w:w="5327" w:type="dxa"/>
            <w:tcBorders>
              <w:top w:val="nil"/>
              <w:left w:val="nil"/>
              <w:bottom w:val="nil"/>
              <w:right w:val="nil"/>
            </w:tcBorders>
          </w:tcPr>
          <w:p w14:paraId="4492A935" w14:textId="77777777" w:rsidR="00F725FF" w:rsidRDefault="00000000">
            <w:pPr>
              <w:spacing w:after="0" w:line="259" w:lineRule="auto"/>
              <w:ind w:left="0" w:firstLine="0"/>
            </w:pPr>
            <w:r>
              <w:rPr>
                <w:rFonts w:ascii="Noto Serif" w:eastAsia="Noto Serif" w:hAnsi="Noto Serif" w:cs="Noto Serif"/>
                <w:sz w:val="19"/>
              </w:rPr>
              <w:t>Other non-current assets</w:t>
            </w:r>
          </w:p>
        </w:tc>
        <w:tc>
          <w:tcPr>
            <w:tcW w:w="4898" w:type="dxa"/>
            <w:tcBorders>
              <w:top w:val="nil"/>
              <w:left w:val="nil"/>
              <w:bottom w:val="nil"/>
              <w:right w:val="nil"/>
            </w:tcBorders>
          </w:tcPr>
          <w:p w14:paraId="49721F9C" w14:textId="77777777" w:rsidR="00F725FF" w:rsidRDefault="00000000">
            <w:pPr>
              <w:spacing w:after="0" w:line="259" w:lineRule="auto"/>
              <w:ind w:left="0" w:firstLine="0"/>
              <w:jc w:val="right"/>
            </w:pPr>
            <w:r>
              <w:rPr>
                <w:rFonts w:ascii="Noto Serif" w:eastAsia="Noto Serif" w:hAnsi="Noto Serif" w:cs="Noto Serif"/>
                <w:sz w:val="19"/>
              </w:rPr>
              <w:t>$11,213</w:t>
            </w:r>
          </w:p>
        </w:tc>
      </w:tr>
      <w:tr w:rsidR="00F725FF" w14:paraId="24AE251D" w14:textId="77777777">
        <w:tblPrEx>
          <w:tblCellMar>
            <w:right w:w="0" w:type="dxa"/>
          </w:tblCellMar>
        </w:tblPrEx>
        <w:trPr>
          <w:gridBefore w:val="1"/>
          <w:gridAfter w:val="1"/>
          <w:wBefore w:w="108" w:type="dxa"/>
          <w:wAfter w:w="106" w:type="dxa"/>
          <w:trHeight w:val="303"/>
        </w:trPr>
        <w:tc>
          <w:tcPr>
            <w:tcW w:w="5327" w:type="dxa"/>
            <w:tcBorders>
              <w:top w:val="nil"/>
              <w:left w:val="nil"/>
              <w:bottom w:val="nil"/>
              <w:right w:val="nil"/>
            </w:tcBorders>
          </w:tcPr>
          <w:p w14:paraId="636307C5" w14:textId="77777777" w:rsidR="00F725FF" w:rsidRDefault="00000000">
            <w:pPr>
              <w:spacing w:after="0" w:line="259" w:lineRule="auto"/>
              <w:ind w:left="0" w:firstLine="0"/>
            </w:pPr>
            <w:r>
              <w:rPr>
                <w:rFonts w:ascii="Noto Serif" w:eastAsia="Noto Serif" w:hAnsi="Noto Serif" w:cs="Noto Serif"/>
                <w:b/>
                <w:sz w:val="19"/>
              </w:rPr>
              <w:t>Total assets</w:t>
            </w:r>
          </w:p>
        </w:tc>
        <w:tc>
          <w:tcPr>
            <w:tcW w:w="4898" w:type="dxa"/>
            <w:tcBorders>
              <w:top w:val="nil"/>
              <w:left w:val="nil"/>
              <w:bottom w:val="nil"/>
              <w:right w:val="nil"/>
            </w:tcBorders>
          </w:tcPr>
          <w:p w14:paraId="692DFF75" w14:textId="77777777" w:rsidR="00F725FF" w:rsidRDefault="00000000">
            <w:pPr>
              <w:spacing w:after="0" w:line="259" w:lineRule="auto"/>
              <w:ind w:left="0" w:firstLine="0"/>
              <w:jc w:val="right"/>
            </w:pPr>
            <w:r>
              <w:rPr>
                <w:rFonts w:ascii="Noto Serif" w:eastAsia="Noto Serif" w:hAnsi="Noto Serif" w:cs="Noto Serif"/>
                <w:b/>
                <w:sz w:val="19"/>
              </w:rPr>
              <w:t>$1,050,371</w:t>
            </w:r>
          </w:p>
        </w:tc>
      </w:tr>
      <w:tr w:rsidR="00F725FF" w14:paraId="7FACEC4A" w14:textId="77777777">
        <w:tblPrEx>
          <w:tblCellMar>
            <w:right w:w="0" w:type="dxa"/>
          </w:tblCellMar>
        </w:tblPrEx>
        <w:trPr>
          <w:gridBefore w:val="1"/>
          <w:gridAfter w:val="1"/>
          <w:wBefore w:w="108" w:type="dxa"/>
          <w:wAfter w:w="106" w:type="dxa"/>
          <w:trHeight w:val="303"/>
        </w:trPr>
        <w:tc>
          <w:tcPr>
            <w:tcW w:w="5327" w:type="dxa"/>
            <w:tcBorders>
              <w:top w:val="nil"/>
              <w:left w:val="nil"/>
              <w:bottom w:val="nil"/>
              <w:right w:val="nil"/>
            </w:tcBorders>
          </w:tcPr>
          <w:p w14:paraId="47D29BCE" w14:textId="77777777" w:rsidR="00F725FF" w:rsidRDefault="00000000">
            <w:pPr>
              <w:spacing w:after="0" w:line="259" w:lineRule="auto"/>
              <w:ind w:left="0" w:firstLine="0"/>
            </w:pPr>
            <w:r>
              <w:rPr>
                <w:rFonts w:ascii="Noto Serif" w:eastAsia="Noto Serif" w:hAnsi="Noto Serif" w:cs="Noto Serif"/>
                <w:sz w:val="19"/>
              </w:rPr>
              <w:t>Liabilities</w:t>
            </w:r>
          </w:p>
        </w:tc>
        <w:tc>
          <w:tcPr>
            <w:tcW w:w="4898" w:type="dxa"/>
            <w:tcBorders>
              <w:top w:val="nil"/>
              <w:left w:val="nil"/>
              <w:bottom w:val="nil"/>
              <w:right w:val="nil"/>
            </w:tcBorders>
          </w:tcPr>
          <w:p w14:paraId="75B0189B" w14:textId="77777777" w:rsidR="00F725FF" w:rsidRDefault="00000000">
            <w:pPr>
              <w:spacing w:after="0" w:line="259" w:lineRule="auto"/>
              <w:ind w:left="0" w:firstLine="0"/>
              <w:jc w:val="right"/>
            </w:pPr>
            <w:r>
              <w:rPr>
                <w:rFonts w:ascii="Noto Serif" w:eastAsia="Noto Serif" w:hAnsi="Noto Serif" w:cs="Noto Serif"/>
                <w:sz w:val="19"/>
              </w:rPr>
              <w:t>$35</w:t>
            </w:r>
          </w:p>
        </w:tc>
      </w:tr>
      <w:tr w:rsidR="00F725FF" w14:paraId="66422F33" w14:textId="77777777">
        <w:tblPrEx>
          <w:tblCellMar>
            <w:right w:w="0" w:type="dxa"/>
          </w:tblCellMar>
        </w:tblPrEx>
        <w:trPr>
          <w:gridBefore w:val="1"/>
          <w:gridAfter w:val="1"/>
          <w:wBefore w:w="108" w:type="dxa"/>
          <w:wAfter w:w="106" w:type="dxa"/>
          <w:trHeight w:val="281"/>
        </w:trPr>
        <w:tc>
          <w:tcPr>
            <w:tcW w:w="5327" w:type="dxa"/>
            <w:tcBorders>
              <w:top w:val="nil"/>
              <w:left w:val="nil"/>
              <w:bottom w:val="nil"/>
              <w:right w:val="nil"/>
            </w:tcBorders>
          </w:tcPr>
          <w:p w14:paraId="27F1C7FF" w14:textId="77777777" w:rsidR="00F725FF" w:rsidRDefault="00000000">
            <w:pPr>
              <w:spacing w:after="0" w:line="259" w:lineRule="auto"/>
              <w:ind w:left="0" w:firstLine="0"/>
            </w:pPr>
            <w:r>
              <w:rPr>
                <w:rFonts w:ascii="Noto Serif" w:eastAsia="Noto Serif" w:hAnsi="Noto Serif" w:cs="Noto Serif"/>
                <w:b/>
                <w:sz w:val="19"/>
              </w:rPr>
              <w:t>Net assets</w:t>
            </w:r>
          </w:p>
        </w:tc>
        <w:tc>
          <w:tcPr>
            <w:tcW w:w="4898" w:type="dxa"/>
            <w:tcBorders>
              <w:top w:val="nil"/>
              <w:left w:val="nil"/>
              <w:bottom w:val="nil"/>
              <w:right w:val="nil"/>
            </w:tcBorders>
          </w:tcPr>
          <w:p w14:paraId="019257E2" w14:textId="77777777" w:rsidR="00F725FF" w:rsidRDefault="00000000">
            <w:pPr>
              <w:spacing w:after="0" w:line="259" w:lineRule="auto"/>
              <w:ind w:left="0" w:firstLine="0"/>
              <w:jc w:val="right"/>
            </w:pPr>
            <w:r>
              <w:rPr>
                <w:rFonts w:ascii="Noto Serif" w:eastAsia="Noto Serif" w:hAnsi="Noto Serif" w:cs="Noto Serif"/>
                <w:b/>
                <w:sz w:val="19"/>
              </w:rPr>
              <w:t>$1,050,336</w:t>
            </w:r>
          </w:p>
        </w:tc>
      </w:tr>
    </w:tbl>
    <w:p w14:paraId="1BE032CB" w14:textId="77777777" w:rsidR="00015336" w:rsidRDefault="00015336">
      <w:pPr>
        <w:spacing w:after="122" w:line="255" w:lineRule="auto"/>
        <w:ind w:left="-5"/>
        <w:rPr>
          <w:rFonts w:ascii="Noto Serif" w:eastAsia="Noto Serif" w:hAnsi="Noto Serif" w:cs="Noto Serif"/>
          <w:sz w:val="21"/>
        </w:rPr>
      </w:pPr>
    </w:p>
    <w:p w14:paraId="141996EA" w14:textId="169CE3EA" w:rsidR="00F725FF" w:rsidRDefault="00000000">
      <w:pPr>
        <w:spacing w:after="122" w:line="255" w:lineRule="auto"/>
        <w:ind w:left="-5"/>
      </w:pPr>
      <w:r>
        <w:rPr>
          <w:rFonts w:ascii="Noto Serif" w:eastAsia="Noto Serif" w:hAnsi="Noto Serif" w:cs="Noto Serif"/>
          <w:sz w:val="21"/>
        </w:rPr>
        <w:t xml:space="preserve">Total assets at year end were </w:t>
      </w:r>
      <w:r w:rsidRPr="00953AFA">
        <w:rPr>
          <w:rFonts w:ascii="Noto Serif" w:eastAsia="Noto Serif" w:hAnsi="Noto Serif" w:cs="Noto Serif"/>
          <w:sz w:val="21"/>
          <w:highlight w:val="yellow"/>
        </w:rPr>
        <w:t>$1,050,371.</w:t>
      </w:r>
      <w:r>
        <w:rPr>
          <w:rFonts w:ascii="Noto Serif" w:eastAsia="Noto Serif" w:hAnsi="Noto Serif" w:cs="Noto Serif"/>
          <w:sz w:val="21"/>
        </w:rPr>
        <w:t xml:space="preserve"> Liabilities were only $35, leaving net assets of $1,050,336.</w:t>
      </w:r>
    </w:p>
    <w:p w14:paraId="360030D5" w14:textId="77777777" w:rsidR="000861A8" w:rsidRDefault="000861A8">
      <w:pPr>
        <w:spacing w:after="64" w:line="259" w:lineRule="auto"/>
        <w:ind w:left="-5"/>
        <w:rPr>
          <w:rFonts w:ascii="Noto Serif" w:eastAsia="Noto Serif" w:hAnsi="Noto Serif" w:cs="Noto Serif"/>
          <w:b/>
        </w:rPr>
      </w:pPr>
    </w:p>
    <w:p w14:paraId="24AE2D2F" w14:textId="77777777" w:rsidR="000861A8" w:rsidRDefault="000861A8">
      <w:pPr>
        <w:spacing w:after="64" w:line="259" w:lineRule="auto"/>
        <w:ind w:left="-5"/>
        <w:rPr>
          <w:rFonts w:ascii="Noto Serif" w:eastAsia="Noto Serif" w:hAnsi="Noto Serif" w:cs="Noto Serif"/>
          <w:b/>
        </w:rPr>
      </w:pPr>
    </w:p>
    <w:p w14:paraId="5BE5CF8F" w14:textId="77777777" w:rsidR="000861A8" w:rsidRDefault="000861A8">
      <w:pPr>
        <w:spacing w:after="64" w:line="259" w:lineRule="auto"/>
        <w:ind w:left="-5"/>
        <w:rPr>
          <w:rFonts w:ascii="Noto Serif" w:eastAsia="Noto Serif" w:hAnsi="Noto Serif" w:cs="Noto Serif"/>
          <w:b/>
        </w:rPr>
      </w:pPr>
    </w:p>
    <w:p w14:paraId="34BF56B7" w14:textId="49083BAA" w:rsidR="00F725FF" w:rsidRDefault="00000000">
      <w:pPr>
        <w:spacing w:after="64" w:line="259" w:lineRule="auto"/>
        <w:ind w:left="-5"/>
      </w:pPr>
      <w:r>
        <w:rPr>
          <w:rFonts w:ascii="Noto Serif" w:eastAsia="Noto Serif" w:hAnsi="Noto Serif" w:cs="Noto Serif"/>
          <w:b/>
        </w:rPr>
        <w:t>Governance and Ongoing Activity</w:t>
      </w:r>
    </w:p>
    <w:p w14:paraId="2B6E7DCD" w14:textId="77777777" w:rsidR="00F725FF" w:rsidRDefault="00000000">
      <w:pPr>
        <w:spacing w:after="122" w:line="255" w:lineRule="auto"/>
        <w:ind w:left="-5"/>
      </w:pPr>
      <w:r>
        <w:rPr>
          <w:rFonts w:ascii="Noto Serif" w:eastAsia="Noto Serif" w:hAnsi="Noto Serif" w:cs="Noto Serif"/>
          <w:sz w:val="21"/>
        </w:rPr>
        <w:t>During the year NKHA continued its normal governance and administration work alongside cultural monitoring and other hapū activity. The financial statements reflect a year in which these activities were carried out while the investment portfolio continued to provide both income and capital growth.</w:t>
      </w:r>
    </w:p>
    <w:p w14:paraId="48DCFAB6" w14:textId="77777777" w:rsidR="00F725FF" w:rsidRDefault="00000000">
      <w:pPr>
        <w:spacing w:after="64" w:line="259" w:lineRule="auto"/>
        <w:ind w:left="-5"/>
      </w:pPr>
      <w:r>
        <w:rPr>
          <w:rFonts w:ascii="Noto Serif" w:eastAsia="Noto Serif" w:hAnsi="Noto Serif" w:cs="Noto Serif"/>
          <w:b/>
        </w:rPr>
        <w:t>Conclusion</w:t>
      </w:r>
    </w:p>
    <w:p w14:paraId="608AFEC4" w14:textId="77777777" w:rsidR="00F725FF" w:rsidRDefault="00000000">
      <w:pPr>
        <w:spacing w:after="122" w:line="255" w:lineRule="auto"/>
        <w:ind w:left="-5"/>
      </w:pPr>
      <w:r>
        <w:rPr>
          <w:noProof/>
        </w:rPr>
        <w:drawing>
          <wp:anchor distT="0" distB="0" distL="114300" distR="114300" simplePos="0" relativeHeight="251661312" behindDoc="0" locked="0" layoutInCell="1" allowOverlap="0" wp14:anchorId="5A16BC3D" wp14:editId="354056BD">
            <wp:simplePos x="0" y="0"/>
            <wp:positionH relativeFrom="page">
              <wp:posOffset>3495040</wp:posOffset>
            </wp:positionH>
            <wp:positionV relativeFrom="page">
              <wp:posOffset>111760</wp:posOffset>
            </wp:positionV>
            <wp:extent cx="782955" cy="782955"/>
            <wp:effectExtent l="0" t="0" r="0" b="0"/>
            <wp:wrapTopAndBottom/>
            <wp:docPr id="1596" name="Picture 1596"/>
            <wp:cNvGraphicFramePr/>
            <a:graphic xmlns:a="http://schemas.openxmlformats.org/drawingml/2006/main">
              <a:graphicData uri="http://schemas.openxmlformats.org/drawingml/2006/picture">
                <pic:pic xmlns:pic="http://schemas.openxmlformats.org/drawingml/2006/picture">
                  <pic:nvPicPr>
                    <pic:cNvPr id="1596" name="Picture 1596"/>
                    <pic:cNvPicPr/>
                  </pic:nvPicPr>
                  <pic:blipFill>
                    <a:blip r:embed="rId7"/>
                    <a:stretch>
                      <a:fillRect/>
                    </a:stretch>
                  </pic:blipFill>
                  <pic:spPr>
                    <a:xfrm>
                      <a:off x="0" y="0"/>
                      <a:ext cx="782955" cy="782955"/>
                    </a:xfrm>
                    <a:prstGeom prst="rect">
                      <a:avLst/>
                    </a:prstGeom>
                  </pic:spPr>
                </pic:pic>
              </a:graphicData>
            </a:graphic>
          </wp:anchor>
        </w:drawing>
      </w:r>
      <w:r>
        <w:rPr>
          <w:rFonts w:ascii="Noto Serif" w:eastAsia="Noto Serif" w:hAnsi="Noto Serif" w:cs="Noto Serif"/>
          <w:sz w:val="21"/>
        </w:rPr>
        <w:t>At 31 March 2026, NKHA was in a very strong financial position. The year ended with a surplus of $13,878, bank balances of $78,297 and an investment portfolio valued at $957,153. With net assets of $1,050,336 and virtually no liabilities, NKHA finished the year with a strong financial base.</w:t>
      </w:r>
    </w:p>
    <w:p w14:paraId="4F5C9F8F" w14:textId="77777777" w:rsidR="00F725FF" w:rsidRDefault="00000000">
      <w:pPr>
        <w:spacing w:after="122" w:line="255" w:lineRule="auto"/>
        <w:ind w:left="-5"/>
      </w:pPr>
      <w:r>
        <w:rPr>
          <w:rFonts w:ascii="Noto Serif" w:eastAsia="Noto Serif" w:hAnsi="Noto Serif" w:cs="Noto Serif"/>
          <w:sz w:val="21"/>
        </w:rPr>
        <w:t>The annual financial statements for the year ended 31 March 2026 have been approved by the trustees.</w:t>
      </w:r>
    </w:p>
    <w:sectPr w:rsidR="00F725FF">
      <w:headerReference w:type="even" r:id="rId19"/>
      <w:headerReference w:type="default" r:id="rId20"/>
      <w:headerReference w:type="first" r:id="rId21"/>
      <w:pgSz w:w="12240" w:h="15840"/>
      <w:pgMar w:top="1410" w:right="1022" w:bottom="1501" w:left="10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740A8" w14:textId="77777777" w:rsidR="000A47F4" w:rsidRDefault="000A47F4">
      <w:pPr>
        <w:spacing w:after="0" w:line="240" w:lineRule="auto"/>
      </w:pPr>
      <w:r>
        <w:separator/>
      </w:r>
    </w:p>
  </w:endnote>
  <w:endnote w:type="continuationSeparator" w:id="0">
    <w:p w14:paraId="2DF29D1F" w14:textId="77777777" w:rsidR="000A47F4" w:rsidRDefault="000A4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erif">
    <w:panose1 w:val="02020600060500020200"/>
    <w:charset w:val="00"/>
    <w:family w:val="roman"/>
    <w:pitch w:val="variable"/>
    <w:sig w:usb0="E00002FF" w:usb1="500078FF" w:usb2="00000029"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600E3" w14:textId="77777777" w:rsidR="000A47F4" w:rsidRDefault="000A47F4">
      <w:pPr>
        <w:spacing w:after="0" w:line="240" w:lineRule="auto"/>
      </w:pPr>
      <w:r>
        <w:separator/>
      </w:r>
    </w:p>
  </w:footnote>
  <w:footnote w:type="continuationSeparator" w:id="0">
    <w:p w14:paraId="04207DFF" w14:textId="77777777" w:rsidR="000A47F4" w:rsidRDefault="000A4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EC6E" w14:textId="77777777" w:rsidR="00F725FF" w:rsidRDefault="00F725FF">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8236" w14:textId="77777777" w:rsidR="00F725FF" w:rsidRDefault="00F725FF">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48F5" w14:textId="77777777" w:rsidR="00F725FF" w:rsidRDefault="00F725FF">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4426" w14:textId="77777777" w:rsidR="00F725FF" w:rsidRDefault="00F725FF">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39BC" w14:textId="77777777" w:rsidR="00F725FF" w:rsidRDefault="00F725FF">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47063" w14:textId="77777777" w:rsidR="00F725FF" w:rsidRDefault="00F725FF">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92CD" w14:textId="77777777" w:rsidR="00F725FF" w:rsidRDefault="00000000">
    <w:pPr>
      <w:spacing w:after="0" w:line="259" w:lineRule="auto"/>
      <w:ind w:left="50" w:firstLine="0"/>
      <w:jc w:val="center"/>
    </w:pPr>
    <w:r>
      <w:rPr>
        <w:noProof/>
      </w:rPr>
      <w:drawing>
        <wp:anchor distT="0" distB="0" distL="114300" distR="114300" simplePos="0" relativeHeight="251658240" behindDoc="0" locked="0" layoutInCell="1" allowOverlap="0" wp14:anchorId="4D359146" wp14:editId="1B12FA75">
          <wp:simplePos x="0" y="0"/>
          <wp:positionH relativeFrom="page">
            <wp:posOffset>2843529</wp:posOffset>
          </wp:positionH>
          <wp:positionV relativeFrom="page">
            <wp:posOffset>457200</wp:posOffset>
          </wp:positionV>
          <wp:extent cx="2083242" cy="570230"/>
          <wp:effectExtent l="0" t="0" r="0" b="0"/>
          <wp:wrapSquare wrapText="bothSides"/>
          <wp:docPr id="292" name="Pictu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1"/>
                  <a:stretch>
                    <a:fillRect/>
                  </a:stretch>
                </pic:blipFill>
                <pic:spPr>
                  <a:xfrm>
                    <a:off x="0" y="0"/>
                    <a:ext cx="2083242" cy="570230"/>
                  </a:xfrm>
                  <a:prstGeom prst="rect">
                    <a:avLst/>
                  </a:prstGeom>
                </pic:spPr>
              </pic:pic>
            </a:graphicData>
          </a:graphic>
        </wp:anchor>
      </w:drawing>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39A2" w14:textId="77777777" w:rsidR="00F725FF" w:rsidRDefault="00000000">
    <w:pPr>
      <w:spacing w:after="0" w:line="259" w:lineRule="auto"/>
      <w:ind w:left="50" w:firstLine="0"/>
      <w:jc w:val="center"/>
    </w:pPr>
    <w:r>
      <w:rPr>
        <w:noProof/>
      </w:rPr>
      <w:drawing>
        <wp:anchor distT="0" distB="0" distL="114300" distR="114300" simplePos="0" relativeHeight="251659264" behindDoc="0" locked="0" layoutInCell="1" allowOverlap="0" wp14:anchorId="421F0DAE" wp14:editId="3C5CA860">
          <wp:simplePos x="0" y="0"/>
          <wp:positionH relativeFrom="page">
            <wp:posOffset>2843529</wp:posOffset>
          </wp:positionH>
          <wp:positionV relativeFrom="page">
            <wp:posOffset>457200</wp:posOffset>
          </wp:positionV>
          <wp:extent cx="2083242" cy="570230"/>
          <wp:effectExtent l="0" t="0" r="0" b="0"/>
          <wp:wrapSquare wrapText="bothSides"/>
          <wp:docPr id="2090468507" name="Picture 2090468507"/>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1"/>
                  <a:stretch>
                    <a:fillRect/>
                  </a:stretch>
                </pic:blipFill>
                <pic:spPr>
                  <a:xfrm>
                    <a:off x="0" y="0"/>
                    <a:ext cx="2083242" cy="570230"/>
                  </a:xfrm>
                  <a:prstGeom prst="rect">
                    <a:avLst/>
                  </a:prstGeom>
                </pic:spPr>
              </pic:pic>
            </a:graphicData>
          </a:graphic>
        </wp:anchor>
      </w:drawing>
    </w: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193F" w14:textId="77777777" w:rsidR="00F725FF" w:rsidRDefault="00000000">
    <w:pPr>
      <w:spacing w:after="0" w:line="259" w:lineRule="auto"/>
      <w:ind w:left="50" w:firstLine="0"/>
      <w:jc w:val="center"/>
    </w:pPr>
    <w:r>
      <w:rPr>
        <w:noProof/>
      </w:rPr>
      <w:drawing>
        <wp:anchor distT="0" distB="0" distL="114300" distR="114300" simplePos="0" relativeHeight="251660288" behindDoc="0" locked="0" layoutInCell="1" allowOverlap="0" wp14:anchorId="49B42E63" wp14:editId="206458B2">
          <wp:simplePos x="0" y="0"/>
          <wp:positionH relativeFrom="page">
            <wp:posOffset>2843529</wp:posOffset>
          </wp:positionH>
          <wp:positionV relativeFrom="page">
            <wp:posOffset>457200</wp:posOffset>
          </wp:positionV>
          <wp:extent cx="2083242" cy="570230"/>
          <wp:effectExtent l="0" t="0" r="0" b="0"/>
          <wp:wrapSquare wrapText="bothSides"/>
          <wp:docPr id="2139815059" name="Picture 2139815059"/>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1"/>
                  <a:stretch>
                    <a:fillRect/>
                  </a:stretch>
                </pic:blipFill>
                <pic:spPr>
                  <a:xfrm>
                    <a:off x="0" y="0"/>
                    <a:ext cx="2083242" cy="570230"/>
                  </a:xfrm>
                  <a:prstGeom prst="rect">
                    <a:avLst/>
                  </a:prstGeom>
                </pic:spPr>
              </pic:pic>
            </a:graphicData>
          </a:graphic>
        </wp:anchor>
      </w:drawing>
    </w: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FFB48" w14:textId="77777777" w:rsidR="00F725FF" w:rsidRDefault="00F725FF">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E15E" w14:textId="77777777" w:rsidR="00F725FF" w:rsidRDefault="00F725FF">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9D24" w14:textId="77777777" w:rsidR="00F725FF" w:rsidRDefault="00F725FF">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601F0"/>
    <w:multiLevelType w:val="hybridMultilevel"/>
    <w:tmpl w:val="FD74FEE2"/>
    <w:lvl w:ilvl="0" w:tplc="D42E6BB0">
      <w:start w:val="1"/>
      <w:numFmt w:val="decimal"/>
      <w:lvlText w:val="%1."/>
      <w:lvlJc w:val="left"/>
      <w:pPr>
        <w:ind w:left="302"/>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1" w:tplc="A85A00F6">
      <w:start w:val="1"/>
      <w:numFmt w:val="lowerLetter"/>
      <w:lvlText w:val="%2"/>
      <w:lvlJc w:val="left"/>
      <w:pPr>
        <w:ind w:left="108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2" w:tplc="3F5E52A4">
      <w:start w:val="1"/>
      <w:numFmt w:val="lowerRoman"/>
      <w:lvlText w:val="%3"/>
      <w:lvlJc w:val="left"/>
      <w:pPr>
        <w:ind w:left="180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3" w:tplc="E610B3AA">
      <w:start w:val="1"/>
      <w:numFmt w:val="decimal"/>
      <w:lvlText w:val="%4"/>
      <w:lvlJc w:val="left"/>
      <w:pPr>
        <w:ind w:left="252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4" w:tplc="302440B0">
      <w:start w:val="1"/>
      <w:numFmt w:val="lowerLetter"/>
      <w:lvlText w:val="%5"/>
      <w:lvlJc w:val="left"/>
      <w:pPr>
        <w:ind w:left="324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5" w:tplc="00D66912">
      <w:start w:val="1"/>
      <w:numFmt w:val="lowerRoman"/>
      <w:lvlText w:val="%6"/>
      <w:lvlJc w:val="left"/>
      <w:pPr>
        <w:ind w:left="396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6" w:tplc="63065904">
      <w:start w:val="1"/>
      <w:numFmt w:val="decimal"/>
      <w:lvlText w:val="%7"/>
      <w:lvlJc w:val="left"/>
      <w:pPr>
        <w:ind w:left="468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7" w:tplc="5932601A">
      <w:start w:val="1"/>
      <w:numFmt w:val="lowerLetter"/>
      <w:lvlText w:val="%8"/>
      <w:lvlJc w:val="left"/>
      <w:pPr>
        <w:ind w:left="540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lvl w:ilvl="8" w:tplc="326E3294">
      <w:start w:val="1"/>
      <w:numFmt w:val="lowerRoman"/>
      <w:lvlText w:val="%9"/>
      <w:lvlJc w:val="left"/>
      <w:pPr>
        <w:ind w:left="6120"/>
      </w:pPr>
      <w:rPr>
        <w:rFonts w:ascii="Noto Serif" w:eastAsia="Noto Serif" w:hAnsi="Noto Serif" w:cs="Noto Serif"/>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0310B12"/>
    <w:multiLevelType w:val="hybridMultilevel"/>
    <w:tmpl w:val="C270B504"/>
    <w:lvl w:ilvl="0" w:tplc="DF50AAA2">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42BB56">
      <w:start w:val="1"/>
      <w:numFmt w:val="bullet"/>
      <w:lvlText w:val="o"/>
      <w:lvlJc w:val="left"/>
      <w:pPr>
        <w:ind w:left="1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2A4D8A">
      <w:start w:val="1"/>
      <w:numFmt w:val="bullet"/>
      <w:lvlText w:val="▪"/>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FA851A">
      <w:start w:val="1"/>
      <w:numFmt w:val="bullet"/>
      <w:lvlText w:val="•"/>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FC6548">
      <w:start w:val="1"/>
      <w:numFmt w:val="bullet"/>
      <w:lvlText w:val="o"/>
      <w:lvlJc w:val="left"/>
      <w:pPr>
        <w:ind w:left="3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3E10E4">
      <w:start w:val="1"/>
      <w:numFmt w:val="bullet"/>
      <w:lvlText w:val="▪"/>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D8B5E2">
      <w:start w:val="1"/>
      <w:numFmt w:val="bullet"/>
      <w:lvlText w:val="•"/>
      <w:lvlJc w:val="left"/>
      <w:pPr>
        <w:ind w:left="4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8E08EE">
      <w:start w:val="1"/>
      <w:numFmt w:val="bullet"/>
      <w:lvlText w:val="o"/>
      <w:lvlJc w:val="left"/>
      <w:pPr>
        <w:ind w:left="5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06E212">
      <w:start w:val="1"/>
      <w:numFmt w:val="bullet"/>
      <w:lvlText w:val="▪"/>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2494794"/>
    <w:multiLevelType w:val="hybridMultilevel"/>
    <w:tmpl w:val="86887C30"/>
    <w:lvl w:ilvl="0" w:tplc="C75C962A">
      <w:start w:val="1"/>
      <w:numFmt w:val="bullet"/>
      <w:lvlText w:val="•"/>
      <w:lvlJc w:val="left"/>
      <w:pPr>
        <w:ind w:left="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3AE43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60443E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7C56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D207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08C19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94C88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4C1A6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AA8B3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8EA78DE"/>
    <w:multiLevelType w:val="hybridMultilevel"/>
    <w:tmpl w:val="DEEA63D2"/>
    <w:lvl w:ilvl="0" w:tplc="1CE25E88">
      <w:start w:val="1"/>
      <w:numFmt w:val="decimal"/>
      <w:lvlText w:val="%1."/>
      <w:lvlJc w:val="left"/>
      <w:pPr>
        <w:ind w:left="345" w:hanging="36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1475678008">
    <w:abstractNumId w:val="0"/>
  </w:num>
  <w:num w:numId="2" w16cid:durableId="586117577">
    <w:abstractNumId w:val="1"/>
  </w:num>
  <w:num w:numId="3" w16cid:durableId="1520043903">
    <w:abstractNumId w:val="2"/>
  </w:num>
  <w:num w:numId="4" w16cid:durableId="673454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5FF"/>
    <w:rsid w:val="00015336"/>
    <w:rsid w:val="000861A8"/>
    <w:rsid w:val="000A47F4"/>
    <w:rsid w:val="002C789C"/>
    <w:rsid w:val="00830011"/>
    <w:rsid w:val="00836BD0"/>
    <w:rsid w:val="00953AFA"/>
    <w:rsid w:val="00C852E0"/>
    <w:rsid w:val="00CA3524"/>
    <w:rsid w:val="00F725F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C612EBF"/>
  <w15:docId w15:val="{3D1F92C1-7D34-8442-812A-24806057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6" w:line="250"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right="-1397" w:hanging="10"/>
      <w:outlineLvl w:val="0"/>
    </w:pPr>
    <w:rPr>
      <w:rFonts w:ascii="Aptos" w:eastAsia="Aptos" w:hAnsi="Aptos" w:cs="Aptos"/>
      <w:color w:val="000000"/>
      <w:sz w:val="48"/>
    </w:rPr>
  </w:style>
  <w:style w:type="paragraph" w:styleId="Heading2">
    <w:name w:val="heading 2"/>
    <w:next w:val="Normal"/>
    <w:link w:val="Heading2Char"/>
    <w:uiPriority w:val="9"/>
    <w:unhideWhenUsed/>
    <w:qFormat/>
    <w:pPr>
      <w:keepNext/>
      <w:keepLines/>
      <w:spacing w:after="75" w:line="259" w:lineRule="auto"/>
      <w:ind w:left="10" w:hanging="10"/>
      <w:outlineLvl w:val="1"/>
    </w:pPr>
    <w:rPr>
      <w:rFonts w:ascii="Calibri" w:eastAsia="Calibri" w:hAnsi="Calibri" w:cs="Calibri"/>
      <w:b/>
      <w:color w:val="000000"/>
      <w:sz w:val="28"/>
      <w:u w:val="single" w:color="000000"/>
    </w:rPr>
  </w:style>
  <w:style w:type="paragraph" w:styleId="Heading3">
    <w:name w:val="heading 3"/>
    <w:next w:val="Normal"/>
    <w:link w:val="Heading3Char"/>
    <w:uiPriority w:val="9"/>
    <w:unhideWhenUsed/>
    <w:qFormat/>
    <w:pPr>
      <w:keepNext/>
      <w:keepLines/>
      <w:spacing w:after="43" w:line="259" w:lineRule="auto"/>
      <w:ind w:left="10" w:hanging="10"/>
      <w:outlineLvl w:val="2"/>
    </w:pPr>
    <w:rPr>
      <w:rFonts w:ascii="Calibri" w:eastAsia="Calibri" w:hAnsi="Calibri" w:cs="Calibri"/>
      <w:b/>
      <w:color w:val="000000"/>
      <w:sz w:val="28"/>
    </w:rPr>
  </w:style>
  <w:style w:type="paragraph" w:styleId="Heading4">
    <w:name w:val="heading 4"/>
    <w:next w:val="Normal"/>
    <w:link w:val="Heading4Char"/>
    <w:uiPriority w:val="9"/>
    <w:unhideWhenUsed/>
    <w:qFormat/>
    <w:pPr>
      <w:keepNext/>
      <w:keepLines/>
      <w:spacing w:after="79" w:line="259" w:lineRule="auto"/>
      <w:ind w:left="10" w:hanging="10"/>
      <w:outlineLvl w:val="3"/>
    </w:pPr>
    <w:rPr>
      <w:rFonts w:ascii="Calibri" w:eastAsia="Calibri" w:hAnsi="Calibri" w:cs="Calibri"/>
      <w:b/>
      <w:color w:val="000000"/>
      <w:sz w:val="22"/>
    </w:rPr>
  </w:style>
  <w:style w:type="paragraph" w:styleId="Heading5">
    <w:name w:val="heading 5"/>
    <w:next w:val="Normal"/>
    <w:link w:val="Heading5Char"/>
    <w:uiPriority w:val="9"/>
    <w:unhideWhenUsed/>
    <w:qFormat/>
    <w:pPr>
      <w:keepNext/>
      <w:keepLines/>
      <w:spacing w:after="151" w:line="259" w:lineRule="auto"/>
      <w:outlineLvl w:val="4"/>
    </w:pPr>
    <w:rPr>
      <w:rFonts w:ascii="Noto Serif" w:eastAsia="Noto Serif" w:hAnsi="Noto Serif" w:cs="Noto Serif"/>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Noto Serif" w:eastAsia="Noto Serif" w:hAnsi="Noto Serif" w:cs="Noto Serif"/>
      <w:b/>
      <w:color w:val="000000"/>
      <w:sz w:val="21"/>
    </w:rPr>
  </w:style>
  <w:style w:type="character" w:customStyle="1" w:styleId="Heading2Char">
    <w:name w:val="Heading 2 Char"/>
    <w:link w:val="Heading2"/>
    <w:rPr>
      <w:rFonts w:ascii="Calibri" w:eastAsia="Calibri" w:hAnsi="Calibri" w:cs="Calibri"/>
      <w:b/>
      <w:color w:val="000000"/>
      <w:sz w:val="28"/>
      <w:u w:val="single" w:color="000000"/>
    </w:rPr>
  </w:style>
  <w:style w:type="character" w:customStyle="1" w:styleId="Heading1Char">
    <w:name w:val="Heading 1 Char"/>
    <w:link w:val="Heading1"/>
    <w:rPr>
      <w:rFonts w:ascii="Aptos" w:eastAsia="Aptos" w:hAnsi="Aptos" w:cs="Aptos"/>
      <w:color w:val="000000"/>
      <w:sz w:val="48"/>
    </w:rPr>
  </w:style>
  <w:style w:type="character" w:customStyle="1" w:styleId="Heading4Char">
    <w:name w:val="Heading 4 Char"/>
    <w:link w:val="Heading4"/>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A35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12.xml"/><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header7.xml.rels><?xml version="1.0" encoding="UTF-8" standalone="yes"?>
<Relationships xmlns="http://schemas.openxmlformats.org/package/2006/relationships"><Relationship Id="rId1" Type="http://schemas.openxmlformats.org/officeDocument/2006/relationships/image" Target="media/image4.jpg"/></Relationships>
</file>

<file path=word/_rels/header8.xml.rels><?xml version="1.0" encoding="UTF-8" standalone="yes"?>
<Relationships xmlns="http://schemas.openxmlformats.org/package/2006/relationships"><Relationship Id="rId1" Type="http://schemas.openxmlformats.org/officeDocument/2006/relationships/image" Target="media/image4.jpg"/></Relationships>
</file>

<file path=word/_rels/header9.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4771</Words>
  <Characters>27199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Tipene-Leach</dc:creator>
  <cp:keywords/>
  <cp:lastModifiedBy>David Tipene-Leach</cp:lastModifiedBy>
  <cp:revision>2</cp:revision>
  <dcterms:created xsi:type="dcterms:W3CDTF">2026-10-02T04:52:00Z</dcterms:created>
  <dcterms:modified xsi:type="dcterms:W3CDTF">2026-10-02T04:52:00Z</dcterms:modified>
</cp:coreProperties>
</file>